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OmniPage1"/>
        <w:spacing w:lineRule="exact" w:line="480"/>
        <w:ind w:left="2353" w:right="2092" w:hanging="0"/>
        <w:jc w:val="center"/>
        <w:rPr>
          <w:rFonts w:ascii="Arial" w:hAnsi="Arial" w:cs="Arial"/>
          <w:b/>
          <w:b/>
          <w:bCs/>
          <w:sz w:val="32"/>
          <w:szCs w:val="32"/>
          <w:lang w:val="de-DE"/>
        </w:rPr>
      </w:pPr>
      <w:r>
        <w:rPr>
          <w:rFonts w:cs="Arial" w:ascii="Arial" w:hAnsi="Arial"/>
          <w:b/>
          <w:bCs/>
          <w:sz w:val="32"/>
          <w:szCs w:val="32"/>
          <w:lang w:val="de-DE"/>
        </w:rPr>
        <w:t>Lizenzvereinbarung für</w:t>
      </w:r>
    </w:p>
    <w:p>
      <w:pPr>
        <w:pStyle w:val="OmniPage1"/>
        <w:spacing w:lineRule="exact" w:line="480"/>
        <w:ind w:left="2353" w:right="2092" w:hanging="0"/>
        <w:jc w:val="center"/>
        <w:rPr>
          <w:rFonts w:ascii="Arial" w:hAnsi="Arial" w:cs="Arial"/>
          <w:b/>
          <w:b/>
          <w:bCs/>
          <w:sz w:val="32"/>
          <w:szCs w:val="32"/>
          <w:lang w:val="de-DE"/>
        </w:rPr>
      </w:pPr>
      <w:r>
        <w:rPr>
          <w:rFonts w:cs="Arial" w:ascii="Arial" w:hAnsi="Arial"/>
          <w:b/>
          <w:bCs/>
          <w:sz w:val="32"/>
          <w:szCs w:val="32"/>
          <w:lang w:val="de-DE"/>
        </w:rPr>
        <w:t>Sprachressourcen</w:t>
      </w:r>
    </w:p>
    <w:p>
      <w:pPr>
        <w:pStyle w:val="LONormal"/>
        <w:tabs>
          <w:tab w:val="clear" w:pos="1152"/>
          <w:tab w:val="left" w:pos="2355" w:leader="none"/>
          <w:tab w:val="right" w:pos="7177" w:leader="none"/>
        </w:tabs>
        <w:spacing w:lineRule="auto" w:line="336" w:before="120" w:after="120"/>
        <w:rPr>
          <w:rFonts w:ascii="Arial" w:hAnsi="Arial" w:cs="Arial"/>
          <w:lang w:val="de-DE"/>
        </w:rPr>
      </w:pPr>
      <w:r>
        <w:rPr>
          <w:rFonts w:cs="Arial" w:ascii="Arial" w:hAnsi="Arial"/>
          <w:lang w:val="de-DE"/>
        </w:rPr>
      </w:r>
    </w:p>
    <w:p>
      <w:pPr>
        <w:pStyle w:val="OmniPage2"/>
        <w:tabs>
          <w:tab w:val="clear" w:pos="1152"/>
          <w:tab w:val="center" w:pos="8478" w:leader="none"/>
        </w:tabs>
        <w:spacing w:lineRule="auto" w:line="336" w:before="120" w:after="120"/>
        <w:ind w:left="3844" w:right="3625" w:hanging="0"/>
        <w:rPr>
          <w:rFonts w:ascii="Arial" w:hAnsi="Arial" w:cs="Arial"/>
          <w:lang w:val="de-DE"/>
        </w:rPr>
      </w:pPr>
      <w:r>
        <w:rPr>
          <w:rFonts w:cs="Arial" w:ascii="Arial" w:hAnsi="Arial"/>
          <w:lang w:val="de-DE"/>
        </w:rPr>
        <w:t>zwischen</w:t>
      </w:r>
    </w:p>
    <w:p>
      <w:pPr>
        <w:pStyle w:val="OmniPage3"/>
        <w:tabs>
          <w:tab w:val="clear" w:pos="1152"/>
          <w:tab w:val="left" w:pos="202" w:leader="none"/>
          <w:tab w:val="right" w:pos="8834" w:leader="none"/>
        </w:tabs>
        <w:spacing w:lineRule="auto" w:line="336"/>
        <w:jc w:val="center"/>
        <w:rPr>
          <w:rFonts w:ascii="Arial" w:hAnsi="Arial" w:cs="Arial"/>
          <w:lang w:val="de-DE"/>
        </w:rPr>
      </w:pPr>
      <w:r>
        <w:rPr>
          <w:rFonts w:cs="Arial" w:ascii="Arial" w:hAnsi="Arial"/>
          <w:lang w:val="de-DE"/>
        </w:rPr>
        <w:t>Ludwig-Maximilians-Universität München</w:t>
      </w:r>
    </w:p>
    <w:p>
      <w:pPr>
        <w:pStyle w:val="OmniPage3"/>
        <w:tabs>
          <w:tab w:val="clear" w:pos="1152"/>
          <w:tab w:val="left" w:pos="202" w:leader="none"/>
          <w:tab w:val="right" w:pos="8834" w:leader="none"/>
        </w:tabs>
        <w:spacing w:lineRule="auto" w:line="336"/>
        <w:jc w:val="center"/>
        <w:rPr>
          <w:rFonts w:ascii="Arial" w:hAnsi="Arial" w:cs="Arial"/>
          <w:lang w:val="de-DE"/>
        </w:rPr>
      </w:pPr>
      <w:r>
        <w:rPr>
          <w:rFonts w:cs="Arial" w:ascii="Arial" w:hAnsi="Arial"/>
          <w:lang w:val="de-DE"/>
        </w:rPr>
        <w:t>Geschwister-Scholl-Platz 1, 80539 München</w:t>
      </w:r>
    </w:p>
    <w:p>
      <w:pPr>
        <w:pStyle w:val="OmniPage3"/>
        <w:tabs>
          <w:tab w:val="clear" w:pos="1152"/>
          <w:tab w:val="left" w:pos="202" w:leader="none"/>
          <w:tab w:val="right" w:pos="8834" w:leader="none"/>
        </w:tabs>
        <w:spacing w:lineRule="auto" w:line="336"/>
        <w:jc w:val="center"/>
        <w:rPr>
          <w:rFonts w:ascii="Arial" w:hAnsi="Arial" w:cs="Arial"/>
          <w:lang w:val="de-DE"/>
        </w:rPr>
      </w:pPr>
      <w:r>
        <w:rPr>
          <w:rFonts w:cs="Arial" w:ascii="Arial" w:hAnsi="Arial"/>
          <w:lang w:val="de-DE"/>
        </w:rPr>
        <w:t>für</w:t>
      </w:r>
    </w:p>
    <w:p>
      <w:pPr>
        <w:pStyle w:val="OmniPage3"/>
        <w:tabs>
          <w:tab w:val="clear" w:pos="1152"/>
          <w:tab w:val="left" w:pos="202" w:leader="none"/>
          <w:tab w:val="right" w:pos="8834" w:leader="none"/>
        </w:tabs>
        <w:spacing w:lineRule="auto" w:line="336"/>
        <w:jc w:val="center"/>
        <w:rPr>
          <w:rFonts w:ascii="Arial" w:hAnsi="Arial" w:cs="Arial"/>
          <w:lang w:val="de-DE"/>
        </w:rPr>
      </w:pPr>
      <w:r>
        <w:rPr>
          <w:rFonts w:cs="Arial" w:ascii="Arial" w:hAnsi="Arial"/>
          <w:lang w:val="de-DE"/>
        </w:rPr>
        <w:t>BAS (Bayerisches Archiv für Sprachsignale) c/o Institut für Phonetik</w:t>
      </w:r>
    </w:p>
    <w:p>
      <w:pPr>
        <w:pStyle w:val="OmniPage3"/>
        <w:tabs>
          <w:tab w:val="clear" w:pos="1152"/>
          <w:tab w:val="left" w:pos="202" w:leader="none"/>
          <w:tab w:val="right" w:pos="8834" w:leader="none"/>
        </w:tabs>
        <w:spacing w:lineRule="auto" w:line="336"/>
        <w:jc w:val="center"/>
        <w:rPr>
          <w:rFonts w:ascii="Arial" w:hAnsi="Arial" w:cs="Arial"/>
          <w:lang w:val="de-DE"/>
        </w:rPr>
      </w:pPr>
      <w:r>
        <w:rPr>
          <w:rFonts w:cs="Arial" w:ascii="Arial" w:hAnsi="Arial"/>
          <w:lang w:val="de-DE"/>
        </w:rPr>
        <w:t>Universität München, Schellingstr. 3 / II, 80799 München</w:t>
      </w:r>
    </w:p>
    <w:p>
      <w:pPr>
        <w:pStyle w:val="OmniPage3"/>
        <w:tabs>
          <w:tab w:val="clear" w:pos="1152"/>
          <w:tab w:val="left" w:pos="202" w:leader="none"/>
          <w:tab w:val="right" w:pos="8834" w:leader="none"/>
        </w:tabs>
        <w:spacing w:lineRule="auto" w:line="336"/>
        <w:jc w:val="center"/>
        <w:rPr>
          <w:rFonts w:ascii="Arial" w:hAnsi="Arial" w:cs="Arial"/>
          <w:lang w:val="de-DE"/>
        </w:rPr>
      </w:pPr>
      <w:r>
        <w:rPr>
          <w:rFonts w:cs="Arial" w:ascii="Arial" w:hAnsi="Arial"/>
          <w:lang w:val="de-DE"/>
        </w:rPr>
        <w:t>vertreten durch den Direktor des BAS</w:t>
      </w:r>
    </w:p>
    <w:p>
      <w:pPr>
        <w:pStyle w:val="OmniPage4"/>
        <w:spacing w:lineRule="auto" w:line="336"/>
        <w:rPr>
          <w:lang w:val="de-DE"/>
        </w:rPr>
      </w:pPr>
      <w:r>
        <w:rPr>
          <w:rFonts w:eastAsia="Helvetica;Arial"/>
          <w:lang w:val="de-DE"/>
        </w:rPr>
        <w:t xml:space="preserve"> </w:t>
      </w:r>
      <w:r>
        <w:rPr>
          <w:lang w:val="de-DE"/>
        </w:rPr>
        <w:t>- nachfolgend „Lizenzempfänger“ genannt</w:t>
      </w:r>
    </w:p>
    <w:p>
      <w:pPr>
        <w:pStyle w:val="OmniPage4"/>
        <w:spacing w:lineRule="auto" w:line="336" w:before="240" w:after="240"/>
        <w:rPr>
          <w:rFonts w:ascii="Arial" w:hAnsi="Arial" w:cs="Arial"/>
          <w:lang w:val="de-DE"/>
        </w:rPr>
      </w:pPr>
      <w:r>
        <w:rPr>
          <w:rFonts w:cs="Arial" w:ascii="Arial" w:hAnsi="Arial"/>
          <w:lang w:val="de-DE"/>
        </w:rPr>
        <w:t>und</w:t>
      </w:r>
    </w:p>
    <w:p>
      <w:pPr>
        <w:pStyle w:val="OmniPage4"/>
        <w:spacing w:lineRule="auto" w:line="336" w:before="240" w:after="240"/>
        <w:rPr>
          <w:lang w:val="de-DE"/>
        </w:rPr>
      </w:pPr>
      <w:r>
        <w:rPr>
          <w:rFonts w:eastAsia="Arial" w:cs="Arial" w:ascii="Arial" w:hAnsi="Arial"/>
          <w:lang w:val="de-DE"/>
        </w:rPr>
        <w:t>................................................</w:t>
      </w:r>
      <w:r>
        <w:rPr>
          <w:rFonts w:eastAsia="Arial" w:cs="Arial" w:ascii="Arial" w:hAnsi="Arial"/>
          <w:lang w:val="de-DE"/>
        </w:rPr>
        <w:br/>
        <w:t xml:space="preserve">vertreten durch </w:t>
        <w:br/>
      </w:r>
      <w:r>
        <w:rPr>
          <w:rFonts w:eastAsia="Arial" w:cs="Arial" w:ascii="Arial" w:hAnsi="Arial"/>
          <w:color w:val="000000"/>
          <w:sz w:val="24"/>
          <w:lang w:val="de-DE" w:bidi="ar-SA"/>
        </w:rPr>
        <w:t>.................................................</w:t>
      </w:r>
      <w:r>
        <w:rPr>
          <w:rFonts w:eastAsia="Arial" w:cs="Arial" w:ascii="Arial" w:hAnsi="Arial"/>
          <w:lang w:val="de-DE"/>
        </w:rPr>
        <w:t xml:space="preserve"> (Projektleitung)</w:t>
        <w:br/>
        <w:t xml:space="preserve"> </w:t>
      </w:r>
      <w:r>
        <w:rPr>
          <w:rFonts w:cs="Arial" w:ascii="Arial" w:hAnsi="Arial"/>
          <w:lang w:val="de-DE"/>
        </w:rPr>
        <w:t>- nachfolgend „Lizenzgeber“ genannt</w:t>
      </w:r>
    </w:p>
    <w:p>
      <w:pPr>
        <w:pStyle w:val="OmniPage4"/>
        <w:spacing w:lineRule="auto" w:line="336" w:before="240" w:after="0"/>
        <w:rPr>
          <w:lang w:val="de-DE"/>
        </w:rPr>
      </w:pPr>
      <w:r>
        <w:rPr>
          <w:rFonts w:cs="Arial" w:ascii="Arial" w:hAnsi="Arial"/>
          <w:lang w:val="de-DE"/>
        </w:rPr>
        <w:t>über die Lizensierung von folgenden Sprachressourcen</w:t>
      </w:r>
    </w:p>
    <w:p>
      <w:pPr>
        <w:pStyle w:val="OmniPage4"/>
        <w:spacing w:lineRule="auto" w:line="336" w:before="240" w:after="0"/>
        <w:rPr>
          <w:lang w:val="de-DE"/>
        </w:rPr>
      </w:pPr>
      <w:r>
        <w:rPr>
          <w:rFonts w:cs="Arial" w:ascii="Arial" w:hAnsi="Arial"/>
          <w:lang w:val="de-DE"/>
        </w:rPr>
        <w:t xml:space="preserve">Interviews aus dem Projekt </w:t>
        <w:br/>
      </w:r>
      <w:r>
        <w:rPr>
          <w:rFonts w:eastAsia="Arial" w:cs="Arial" w:ascii="Arial" w:hAnsi="Arial"/>
          <w:lang w:val="de-DE"/>
        </w:rPr>
        <w:t>„</w:t>
      </w:r>
      <w:r>
        <w:rPr>
          <w:rFonts w:eastAsia="Arial" w:cs="Arial" w:ascii="Arial" w:hAnsi="Arial"/>
          <w:color w:val="000000"/>
          <w:sz w:val="24"/>
          <w:lang w:val="de-DE" w:bidi="ar-SA"/>
        </w:rPr>
        <w:t>................................................................</w:t>
      </w:r>
      <w:r>
        <w:rPr>
          <w:rFonts w:eastAsia="Arial" w:cs="Arial" w:ascii="Arial" w:hAnsi="Arial"/>
          <w:lang w:val="de-DE"/>
        </w:rPr>
        <w:t>“</w:t>
      </w:r>
    </w:p>
    <w:p>
      <w:pPr>
        <w:pStyle w:val="OmniPage4"/>
        <w:spacing w:lineRule="auto" w:line="336"/>
        <w:rPr>
          <w:lang w:val="de-DE"/>
        </w:rPr>
      </w:pPr>
      <w:r>
        <w:rPr>
          <w:rFonts w:eastAsia="Arial" w:cs="Arial" w:ascii="Arial" w:hAnsi="Arial"/>
          <w:lang w:val="de-DE"/>
        </w:rPr>
        <w:t xml:space="preserve"> </w:t>
      </w:r>
      <w:r>
        <w:rPr>
          <w:rFonts w:cs="Arial" w:ascii="Arial" w:hAnsi="Arial"/>
          <w:lang w:val="de-DE"/>
        </w:rPr>
        <w:t>- nachfolgend „SR“ genannt</w:t>
      </w:r>
    </w:p>
    <w:p>
      <w:pPr>
        <w:pStyle w:val="LONormal"/>
        <w:tabs>
          <w:tab w:val="clear" w:pos="1152"/>
          <w:tab w:val="right" w:pos="9268" w:leader="none"/>
        </w:tabs>
        <w:spacing w:lineRule="auto" w:line="336"/>
        <w:rPr>
          <w:rFonts w:ascii="Arial" w:hAnsi="Arial" w:cs="Arial"/>
          <w:lang w:val="de-DE"/>
        </w:rPr>
      </w:pPr>
      <w:r>
        <w:rPr>
          <w:rFonts w:cs="Arial" w:ascii="Arial" w:hAnsi="Arial"/>
          <w:lang w:val="de-DE"/>
        </w:rPr>
      </w:r>
    </w:p>
    <w:p>
      <w:pPr>
        <w:pStyle w:val="OmniPage5"/>
        <w:tabs>
          <w:tab w:val="clear" w:pos="1152"/>
          <w:tab w:val="left" w:pos="9270" w:leader="none"/>
        </w:tabs>
        <w:spacing w:lineRule="auto" w:line="336"/>
        <w:ind w:left="0" w:hanging="0"/>
        <w:rPr>
          <w:rFonts w:ascii="Arial" w:hAnsi="Arial" w:cs="Arial"/>
          <w:lang w:val="de-DE"/>
        </w:rPr>
      </w:pPr>
      <w:r>
        <w:rPr>
          <w:rFonts w:cs="Arial" w:ascii="Arial" w:hAnsi="Arial"/>
          <w:lang w:val="de-DE"/>
        </w:rPr>
        <w:t>VORAUSGESCHICKT WIRD:</w:t>
      </w:r>
    </w:p>
    <w:p>
      <w:pPr>
        <w:pStyle w:val="OmniPage6"/>
        <w:tabs>
          <w:tab w:val="clear" w:pos="1152"/>
          <w:tab w:val="left" w:pos="9270" w:leader="none"/>
        </w:tabs>
        <w:spacing w:lineRule="auto" w:line="336"/>
        <w:ind w:left="0" w:right="0" w:hanging="0"/>
        <w:rPr>
          <w:lang w:val="de-DE"/>
        </w:rPr>
      </w:pPr>
      <w:r>
        <w:rPr>
          <w:rFonts w:cs="Arial" w:ascii="Arial" w:hAnsi="Arial"/>
          <w:lang w:val="de-DE"/>
        </w:rPr>
        <w:t xml:space="preserve">der </w:t>
      </w:r>
      <w:r>
        <w:rPr>
          <w:rFonts w:cs="Arial" w:ascii="Arial" w:hAnsi="Arial"/>
          <w:i/>
          <w:iCs/>
          <w:lang w:val="de-DE"/>
        </w:rPr>
        <w:t>Lizenzgeber</w:t>
      </w:r>
      <w:r>
        <w:rPr>
          <w:rFonts w:cs="Arial" w:ascii="Arial" w:hAnsi="Arial"/>
          <w:lang w:val="de-DE"/>
        </w:rPr>
        <w:t xml:space="preserve"> ist Eigentümer der SR;</w:t>
      </w:r>
    </w:p>
    <w:p>
      <w:pPr>
        <w:pStyle w:val="OmniPage7"/>
        <w:tabs>
          <w:tab w:val="clear" w:pos="1152"/>
          <w:tab w:val="left" w:pos="9270" w:leader="none"/>
        </w:tabs>
        <w:spacing w:lineRule="auto" w:line="336"/>
        <w:ind w:left="0" w:right="0" w:hanging="0"/>
        <w:rPr>
          <w:lang w:val="de-DE"/>
        </w:rPr>
      </w:pPr>
      <w:r>
        <w:rPr>
          <w:rFonts w:cs="Arial" w:ascii="Arial" w:hAnsi="Arial"/>
          <w:lang w:val="de-DE"/>
        </w:rPr>
        <w:t xml:space="preserve">der </w:t>
      </w:r>
      <w:r>
        <w:rPr>
          <w:rFonts w:cs="Arial" w:ascii="Arial" w:hAnsi="Arial"/>
          <w:i/>
          <w:iCs/>
          <w:lang w:val="de-DE"/>
        </w:rPr>
        <w:t>Lizenzempfänger</w:t>
      </w:r>
      <w:r>
        <w:rPr>
          <w:rFonts w:cs="Arial" w:ascii="Arial" w:hAnsi="Arial"/>
          <w:lang w:val="de-DE"/>
        </w:rPr>
        <w:t xml:space="preserve"> möchte vom </w:t>
      </w:r>
      <w:r>
        <w:rPr>
          <w:rFonts w:cs="Arial" w:ascii="Arial" w:hAnsi="Arial"/>
          <w:i/>
          <w:iCs/>
          <w:lang w:val="de-DE"/>
        </w:rPr>
        <w:t>Lizenzgeber</w:t>
      </w:r>
      <w:r>
        <w:rPr>
          <w:rFonts w:cs="Arial" w:ascii="Arial" w:hAnsi="Arial"/>
          <w:lang w:val="de-DE"/>
        </w:rPr>
        <w:t xml:space="preserve"> Lizenzrechte für die SR für die Archivierung und Bereitstellung als Forschungsdaten gewährt bekommen;</w:t>
      </w:r>
    </w:p>
    <w:p>
      <w:pPr>
        <w:pStyle w:val="OmniPage8"/>
        <w:tabs>
          <w:tab w:val="clear" w:pos="1152"/>
          <w:tab w:val="left" w:pos="9270" w:leader="none"/>
        </w:tabs>
        <w:spacing w:lineRule="auto" w:line="336"/>
        <w:ind w:left="0" w:hanging="0"/>
        <w:rPr>
          <w:lang w:val="de-DE"/>
        </w:rPr>
      </w:pPr>
      <w:r>
        <w:rPr>
          <w:rFonts w:cs="Arial" w:ascii="Arial" w:hAnsi="Arial"/>
          <w:lang w:val="de-DE"/>
        </w:rPr>
        <w:t xml:space="preserve">der </w:t>
      </w:r>
      <w:r>
        <w:rPr>
          <w:rFonts w:cs="Arial" w:ascii="Arial" w:hAnsi="Arial"/>
          <w:i/>
          <w:iCs/>
          <w:lang w:val="de-DE"/>
        </w:rPr>
        <w:t>Lizenzgeber</w:t>
      </w:r>
      <w:r>
        <w:rPr>
          <w:rFonts w:cs="Arial" w:ascii="Arial" w:hAnsi="Arial"/>
          <w:lang w:val="de-DE"/>
        </w:rPr>
        <w:t xml:space="preserve"> ist bereit, dem </w:t>
      </w:r>
      <w:r>
        <w:rPr>
          <w:rFonts w:cs="Arial" w:ascii="Arial" w:hAnsi="Arial"/>
          <w:i/>
          <w:iCs/>
          <w:lang w:val="de-DE"/>
        </w:rPr>
        <w:t>Lizenzempfänger</w:t>
      </w:r>
      <w:r>
        <w:rPr>
          <w:rFonts w:cs="Arial" w:ascii="Arial" w:hAnsi="Arial"/>
          <w:lang w:val="de-DE"/>
        </w:rPr>
        <w:t xml:space="preserve"> diese Lizenzrechte zu gewähren; </w:t>
      </w:r>
    </w:p>
    <w:p>
      <w:pPr>
        <w:pStyle w:val="OmniPage8"/>
        <w:tabs>
          <w:tab w:val="clear" w:pos="1152"/>
          <w:tab w:val="left" w:pos="9270" w:leader="none"/>
        </w:tabs>
        <w:spacing w:lineRule="auto" w:line="336"/>
        <w:ind w:left="0" w:hanging="0"/>
        <w:rPr>
          <w:lang w:val="de-DE"/>
        </w:rPr>
      </w:pPr>
      <w:r>
        <w:rPr>
          <w:rFonts w:cs="Arial" w:ascii="Arial" w:hAnsi="Arial"/>
          <w:lang w:val="de-DE"/>
        </w:rPr>
        <w:t xml:space="preserve">der </w:t>
      </w:r>
      <w:r>
        <w:rPr>
          <w:rFonts w:cs="Arial" w:ascii="Arial" w:hAnsi="Arial"/>
          <w:i/>
          <w:iCs/>
          <w:lang w:val="de-DE"/>
        </w:rPr>
        <w:t>Lizenzgeber</w:t>
      </w:r>
      <w:r>
        <w:rPr>
          <w:rFonts w:cs="Arial" w:ascii="Arial" w:hAnsi="Arial"/>
          <w:lang w:val="de-DE"/>
        </w:rPr>
        <w:t xml:space="preserve"> verzichtet auf eine Nutzungsgebühr. </w:t>
      </w:r>
    </w:p>
    <w:p>
      <w:pPr>
        <w:pStyle w:val="LONormal"/>
        <w:tabs>
          <w:tab w:val="clear" w:pos="1152"/>
          <w:tab w:val="left" w:pos="144" w:leader="none"/>
          <w:tab w:val="right" w:pos="6056" w:leader="none"/>
        </w:tabs>
        <w:spacing w:lineRule="auto" w:line="336"/>
        <w:rPr>
          <w:rFonts w:ascii="Arial" w:hAnsi="Arial" w:cs="Arial"/>
          <w:lang w:val="de-DE"/>
        </w:rPr>
      </w:pPr>
      <w:r>
        <w:rPr>
          <w:rFonts w:cs="Arial" w:ascii="Arial" w:hAnsi="Arial"/>
          <w:lang w:val="de-DE"/>
        </w:rPr>
      </w:r>
    </w:p>
    <w:p>
      <w:pPr>
        <w:pStyle w:val="OmniPage9"/>
        <w:tabs>
          <w:tab w:val="clear" w:pos="1152"/>
          <w:tab w:val="left" w:pos="202" w:leader="none"/>
          <w:tab w:val="right" w:pos="9155" w:leader="none"/>
        </w:tabs>
        <w:spacing w:lineRule="auto" w:line="336"/>
        <w:rPr>
          <w:rFonts w:ascii="Arial" w:hAnsi="Arial" w:cs="Arial"/>
          <w:lang w:val="de-DE"/>
        </w:rPr>
      </w:pPr>
      <w:r>
        <w:rPr>
          <w:rFonts w:cs="Arial" w:ascii="Arial" w:hAnsi="Arial"/>
          <w:lang w:val="de-DE"/>
        </w:rPr>
        <w:t>Aus diesen Gründen und angesichts der hier aufgeführten Bestimmungen und gegenseitigen Versprechen kommen die Parteien wie folgt überein:</w:t>
      </w:r>
      <w:r>
        <w:br w:type="page"/>
      </w:r>
    </w:p>
    <w:p>
      <w:pPr>
        <w:pStyle w:val="OmniPage9"/>
        <w:numPr>
          <w:ilvl w:val="0"/>
          <w:numId w:val="2"/>
        </w:numPr>
        <w:tabs>
          <w:tab w:val="clear" w:pos="1152"/>
          <w:tab w:val="left" w:pos="567" w:leader="none"/>
        </w:tabs>
        <w:spacing w:lineRule="auto" w:line="336" w:before="360" w:after="0"/>
        <w:ind w:left="567" w:right="0" w:hanging="567"/>
        <w:rPr>
          <w:rFonts w:ascii="Arial" w:hAnsi="Arial" w:cs="Arial"/>
          <w:b/>
          <w:b/>
          <w:bCs/>
          <w:lang w:val="de-DE"/>
        </w:rPr>
      </w:pPr>
      <w:r>
        <w:rPr>
          <w:rFonts w:cs="Arial" w:ascii="Arial" w:hAnsi="Arial"/>
          <w:b/>
          <w:bCs/>
          <w:lang w:val="de-DE"/>
        </w:rPr>
        <w:t>Lizensierte Sprachressourcen</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Die lizensierte SR ist die in Anlage A zu dieser </w:t>
      </w:r>
      <w:r>
        <w:rPr>
          <w:rFonts w:cs="Arial" w:ascii="Arial" w:hAnsi="Arial"/>
          <w:i/>
          <w:iCs/>
          <w:lang w:val="de-DE"/>
        </w:rPr>
        <w:t>Vereinbarung</w:t>
      </w:r>
      <w:r>
        <w:rPr>
          <w:rFonts w:cs="Arial" w:ascii="Arial" w:hAnsi="Arial"/>
          <w:lang w:val="de-DE"/>
        </w:rPr>
        <w:t xml:space="preserve"> beschriebene Interview-Sammlung einschließlich der dazugehörigen Dokumentation. Die Parteien können die Anlage A einvernehmlich bei Bedarf ändern und/oder ergänzen.</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Der </w:t>
      </w:r>
      <w:r>
        <w:rPr>
          <w:rFonts w:cs="Arial" w:ascii="Arial" w:hAnsi="Arial"/>
          <w:i/>
          <w:iCs/>
          <w:lang w:val="de-DE"/>
        </w:rPr>
        <w:t>Lizenzgeber</w:t>
      </w:r>
      <w:r>
        <w:rPr>
          <w:rFonts w:cs="Arial" w:ascii="Arial" w:hAnsi="Arial"/>
          <w:lang w:val="de-DE"/>
        </w:rPr>
        <w:t xml:space="preserve"> stellt dem </w:t>
      </w:r>
      <w:r>
        <w:rPr>
          <w:rFonts w:cs="Arial" w:ascii="Arial" w:hAnsi="Arial"/>
          <w:i/>
          <w:iCs/>
          <w:lang w:val="de-DE"/>
        </w:rPr>
        <w:t>Lizenzempfänger</w:t>
      </w:r>
      <w:r>
        <w:rPr>
          <w:rFonts w:cs="Arial" w:ascii="Arial" w:hAnsi="Arial"/>
          <w:lang w:val="de-DE"/>
        </w:rPr>
        <w:t xml:space="preserve"> die in </w:t>
      </w:r>
      <w:r>
        <w:rPr>
          <w:rFonts w:cs="Arial" w:ascii="Arial" w:hAnsi="Arial"/>
          <w:bCs/>
          <w:lang w:val="de-DE"/>
        </w:rPr>
        <w:t>Anlage A</w:t>
      </w:r>
      <w:r>
        <w:rPr>
          <w:rFonts w:cs="Arial" w:ascii="Arial" w:hAnsi="Arial"/>
          <w:lang w:val="de-DE"/>
        </w:rPr>
        <w:t xml:space="preserve"> aufgeführten SR zur Verfügung.</w:t>
      </w:r>
      <w:r>
        <w:rPr>
          <w:rFonts w:cs="Arial" w:ascii="Arial" w:hAnsi="Arial"/>
          <w:b/>
          <w:bCs/>
          <w:lang w:val="de-DE"/>
        </w:rPr>
        <w:t xml:space="preserve"> </w:t>
      </w:r>
      <w:r>
        <w:rPr>
          <w:rFonts w:cs="Arial" w:ascii="Arial" w:hAnsi="Arial"/>
          <w:lang w:val="de-DE"/>
        </w:rPr>
        <w:t>Die SR müssen Aufnahmen (Sprachsignale), zumindest eine Form von Transkription/Annotation je Aufnahme, Metadaten der Aufnahmen und/oder Sprecher und Dokumentation (Begleitdokumente wie Protokolle, Photos, Biographien etc.) enthalten.</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Der </w:t>
      </w:r>
      <w:r>
        <w:rPr>
          <w:rFonts w:cs="Arial" w:ascii="Arial" w:hAnsi="Arial"/>
          <w:i/>
          <w:iCs/>
          <w:lang w:val="de-DE"/>
        </w:rPr>
        <w:t>Lizenzgeber</w:t>
      </w:r>
      <w:r>
        <w:rPr>
          <w:rFonts w:cs="Arial" w:ascii="Arial" w:hAnsi="Arial"/>
          <w:lang w:val="de-DE"/>
        </w:rPr>
        <w:t xml:space="preserve"> versichert, dass er die Rechte zur Übertragung der SR an den </w:t>
      </w:r>
      <w:r>
        <w:rPr>
          <w:rFonts w:cs="Arial" w:ascii="Arial" w:hAnsi="Arial"/>
          <w:i/>
          <w:iCs/>
          <w:lang w:val="de-DE"/>
        </w:rPr>
        <w:t>Lizenzempfänger</w:t>
      </w:r>
      <w:r>
        <w:rPr>
          <w:rFonts w:cs="Arial" w:ascii="Arial" w:hAnsi="Arial"/>
          <w:lang w:val="de-DE"/>
        </w:rPr>
        <w:t xml:space="preserve"> für die in dieser Vereinbarung genannten Zwecke hat. Diese schließen die Genehmigungen der aufgenommenen Sprecher ein, dass ihre aufgenommenen Stimmen für wissenschaftliche Forschungen durch andere Parteien als den </w:t>
      </w:r>
      <w:r>
        <w:rPr>
          <w:rFonts w:cs="Arial" w:ascii="Arial" w:hAnsi="Arial"/>
          <w:i/>
          <w:iCs/>
          <w:lang w:val="de-DE"/>
        </w:rPr>
        <w:t>Lizenzgeber</w:t>
      </w:r>
      <w:r>
        <w:rPr>
          <w:rFonts w:cs="Arial" w:ascii="Arial" w:hAnsi="Arial"/>
          <w:lang w:val="de-DE"/>
        </w:rPr>
        <w:t xml:space="preserve"> und zu denselben Bedingungen wie denen, die mit dem Ersteller der Interview-Sammlung vereinbart wurden, genutzt werden können.</w:t>
      </w:r>
      <w:bookmarkStart w:id="0" w:name="_GoBack"/>
      <w:bookmarkEnd w:id="0"/>
    </w:p>
    <w:p>
      <w:pPr>
        <w:pStyle w:val="OmniPage9"/>
        <w:numPr>
          <w:ilvl w:val="0"/>
          <w:numId w:val="2"/>
        </w:numPr>
        <w:tabs>
          <w:tab w:val="clear" w:pos="1152"/>
          <w:tab w:val="left" w:pos="567" w:leader="none"/>
        </w:tabs>
        <w:spacing w:lineRule="auto" w:line="336" w:before="360" w:after="0"/>
        <w:ind w:left="567" w:right="0" w:hanging="567"/>
        <w:rPr>
          <w:rFonts w:ascii="Arial" w:hAnsi="Arial" w:cs="Arial"/>
          <w:b/>
          <w:b/>
          <w:bCs/>
          <w:lang w:val="de-DE"/>
        </w:rPr>
      </w:pPr>
      <w:r>
        <w:rPr>
          <w:rFonts w:cs="Arial" w:ascii="Arial" w:hAnsi="Arial"/>
          <w:b/>
          <w:bCs/>
          <w:lang w:val="de-DE"/>
        </w:rPr>
        <w:t>Lizenzgewährung</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Der </w:t>
      </w:r>
      <w:r>
        <w:rPr>
          <w:rFonts w:cs="Arial" w:ascii="Arial" w:hAnsi="Arial"/>
          <w:i/>
          <w:iCs/>
          <w:lang w:val="de-DE"/>
        </w:rPr>
        <w:t>Lizenzgeber</w:t>
      </w:r>
      <w:r>
        <w:rPr>
          <w:rFonts w:cs="Arial" w:ascii="Arial" w:hAnsi="Arial"/>
          <w:lang w:val="de-DE"/>
        </w:rPr>
        <w:t xml:space="preserve"> gewährt dem </w:t>
      </w:r>
      <w:r>
        <w:rPr>
          <w:rFonts w:cs="Arial" w:ascii="Arial" w:hAnsi="Arial"/>
          <w:i/>
          <w:iCs/>
          <w:lang w:val="de-DE"/>
        </w:rPr>
        <w:t>Lizenzempfänger</w:t>
      </w:r>
      <w:r>
        <w:rPr>
          <w:rFonts w:cs="Arial" w:ascii="Arial" w:hAnsi="Arial"/>
          <w:lang w:val="de-DE"/>
        </w:rPr>
        <w:t xml:space="preserve"> eine nicht ausschließliche, weltweite Lizenz für die Dauer dieser </w:t>
      </w:r>
      <w:r>
        <w:rPr>
          <w:rFonts w:cs="Arial" w:ascii="Arial" w:hAnsi="Arial"/>
          <w:i/>
          <w:iCs/>
          <w:lang w:val="de-DE"/>
        </w:rPr>
        <w:t>Vereinbarung</w:t>
      </w:r>
      <w:r>
        <w:rPr>
          <w:rFonts w:cs="Arial" w:ascii="Arial" w:hAnsi="Arial"/>
          <w:lang w:val="de-DE"/>
        </w:rPr>
        <w:t xml:space="preserve"> zur Archivierung, zur Änderung, wenn technische Fehler korrigiert oder nicht mehr unterstützte Dateiformate ersetzt werden müssen, und zur Unterlizensierung der SR gemäß dem in Anlage B gewählten Lizenzmodell und den Bedingungen dieser </w:t>
      </w:r>
      <w:r>
        <w:rPr>
          <w:rFonts w:cs="Arial" w:ascii="Arial" w:hAnsi="Arial"/>
          <w:i/>
          <w:iCs/>
          <w:lang w:val="de-DE"/>
        </w:rPr>
        <w:t>Vereinbarung</w:t>
      </w:r>
      <w:r>
        <w:rPr>
          <w:rFonts w:cs="Arial" w:ascii="Arial" w:hAnsi="Arial"/>
          <w:lang w:val="de-DE"/>
        </w:rPr>
        <w:t xml:space="preserve">. Durch diese Lizenz wird der </w:t>
      </w:r>
      <w:r>
        <w:rPr>
          <w:rFonts w:cs="Arial" w:ascii="Arial" w:hAnsi="Arial"/>
          <w:i/>
          <w:iCs/>
          <w:lang w:val="de-DE"/>
        </w:rPr>
        <w:t>Lizenzempfänger</w:t>
      </w:r>
      <w:r>
        <w:rPr>
          <w:rFonts w:cs="Arial" w:ascii="Arial" w:hAnsi="Arial"/>
          <w:lang w:val="de-DE"/>
        </w:rPr>
        <w:t xml:space="preserve"> weder Eigentümer noch erwirbt er Rechte oder Anteile oder Urheberrechte an den SR.</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Der </w:t>
      </w:r>
      <w:r>
        <w:rPr>
          <w:rFonts w:cs="Arial" w:ascii="Arial" w:hAnsi="Arial"/>
          <w:i/>
          <w:iCs/>
          <w:lang w:val="de-DE"/>
        </w:rPr>
        <w:t>Lizenzgeber</w:t>
      </w:r>
      <w:r>
        <w:rPr>
          <w:rFonts w:cs="Arial" w:ascii="Arial" w:hAnsi="Arial"/>
          <w:lang w:val="de-DE"/>
        </w:rPr>
        <w:t xml:space="preserve"> behält sich das Recht vor, die SR zu verbessern, zu verändern und/oder anzupassen. Der </w:t>
      </w:r>
      <w:r>
        <w:rPr>
          <w:rFonts w:cs="Arial" w:ascii="Arial" w:hAnsi="Arial"/>
          <w:i/>
          <w:lang w:val="de-DE"/>
        </w:rPr>
        <w:t>Lizenzempfänger</w:t>
      </w:r>
      <w:r>
        <w:rPr>
          <w:rFonts w:cs="Arial" w:ascii="Arial" w:hAnsi="Arial"/>
          <w:lang w:val="de-DE"/>
        </w:rPr>
        <w:t xml:space="preserve"> räumt dem </w:t>
      </w:r>
      <w:r>
        <w:rPr>
          <w:rFonts w:cs="Arial" w:ascii="Arial" w:hAnsi="Arial"/>
          <w:i/>
          <w:lang w:val="de-DE"/>
        </w:rPr>
        <w:t>Lizenzgeber</w:t>
      </w:r>
      <w:r>
        <w:rPr>
          <w:rFonts w:cs="Arial" w:ascii="Arial" w:hAnsi="Arial"/>
          <w:lang w:val="de-DE"/>
        </w:rPr>
        <w:t xml:space="preserve"> das Recht ein, alle 6 Monate Änderungen an den Transkripten und/oder Metadaten vorzunehmen; Mediendateien dürfen nur bei technischen Fehlern verändert werden. Dies führt technisch zu einer neuen Version der SR im BAS CLARIN Repository einschließlich eines neuen Persistent Identifiers.</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Der </w:t>
      </w:r>
      <w:r>
        <w:rPr>
          <w:rFonts w:cs="Arial" w:ascii="Arial" w:hAnsi="Arial"/>
          <w:i/>
          <w:iCs/>
          <w:lang w:val="de-DE"/>
        </w:rPr>
        <w:t>Lizenzempfänger</w:t>
      </w:r>
      <w:r>
        <w:rPr>
          <w:rFonts w:cs="Arial" w:ascii="Arial" w:hAnsi="Arial"/>
          <w:lang w:val="de-DE"/>
        </w:rPr>
        <w:t xml:space="preserve"> kann das Angebot für diese Vereinbarung ohne Bedingungen ablehnen, d.h. er ist nicht verpflichtet, diese Lizenzgewährung anzunehmen.</w:t>
      </w:r>
    </w:p>
    <w:p>
      <w:pPr>
        <w:pStyle w:val="OmniPage9"/>
        <w:numPr>
          <w:ilvl w:val="0"/>
          <w:numId w:val="2"/>
        </w:numPr>
        <w:tabs>
          <w:tab w:val="clear" w:pos="1152"/>
          <w:tab w:val="left" w:pos="567" w:leader="none"/>
        </w:tabs>
        <w:spacing w:lineRule="auto" w:line="336" w:before="360" w:after="0"/>
        <w:ind w:left="567" w:right="0" w:hanging="567"/>
        <w:rPr>
          <w:rFonts w:ascii="Arial" w:hAnsi="Arial" w:cs="Arial"/>
          <w:b/>
          <w:b/>
          <w:bCs/>
          <w:lang w:val="de-DE"/>
        </w:rPr>
      </w:pPr>
      <w:r>
        <w:rPr>
          <w:rFonts w:cs="Arial" w:ascii="Arial" w:hAnsi="Arial"/>
          <w:b/>
          <w:bCs/>
          <w:lang w:val="de-DE"/>
        </w:rPr>
        <w:t>Schutz der SR</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Der </w:t>
      </w:r>
      <w:r>
        <w:rPr>
          <w:rFonts w:cs="Arial" w:ascii="Arial" w:hAnsi="Arial"/>
          <w:i/>
          <w:iCs/>
          <w:lang w:val="de-DE"/>
        </w:rPr>
        <w:t>Lizenzempfänger</w:t>
      </w:r>
      <w:r>
        <w:rPr>
          <w:rFonts w:cs="Arial" w:ascii="Arial" w:hAnsi="Arial"/>
          <w:lang w:val="de-DE"/>
        </w:rPr>
        <w:t xml:space="preserve"> erkennt an, dass die SR vertraulich und gesetzlich geschützt sind, und verpflichtet sich, die Vertraulichkeit zu wahren und die SR nur nach den Bedingungen dieser </w:t>
      </w:r>
      <w:r>
        <w:rPr>
          <w:rFonts w:cs="Arial" w:ascii="Arial" w:hAnsi="Arial"/>
          <w:i/>
          <w:iCs/>
          <w:lang w:val="de-DE"/>
        </w:rPr>
        <w:t xml:space="preserve">Vereinbarung </w:t>
      </w:r>
      <w:r>
        <w:rPr>
          <w:rFonts w:cs="Arial" w:ascii="Arial" w:hAnsi="Arial"/>
          <w:lang w:val="de-DE"/>
        </w:rPr>
        <w:t xml:space="preserve">zu nutzen. Der </w:t>
      </w:r>
      <w:r>
        <w:rPr>
          <w:rFonts w:cs="Arial" w:ascii="Arial" w:hAnsi="Arial"/>
          <w:i/>
          <w:iCs/>
          <w:lang w:val="de-DE"/>
        </w:rPr>
        <w:t>Lizenzempfänger</w:t>
      </w:r>
      <w:r>
        <w:rPr>
          <w:rFonts w:cs="Arial" w:ascii="Arial" w:hAnsi="Arial"/>
          <w:lang w:val="de-DE"/>
        </w:rPr>
        <w:t xml:space="preserve"> verpflichtet sich ausdrücklich, von jedem Unterlizenzempfänger eine Geheimhaltungserklärung in Schriftform oder einen anderen Nachweis über die Zustimmung zur Geheimhaltung der SR einzuholen.</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Der </w:t>
      </w:r>
      <w:r>
        <w:rPr>
          <w:rFonts w:cs="Arial" w:ascii="Arial" w:hAnsi="Arial"/>
          <w:i/>
          <w:iCs/>
          <w:lang w:val="de-DE"/>
        </w:rPr>
        <w:t>Lizenzempfänger</w:t>
      </w:r>
      <w:r>
        <w:rPr>
          <w:rFonts w:cs="Arial" w:ascii="Arial" w:hAnsi="Arial"/>
          <w:lang w:val="de-DE"/>
        </w:rPr>
        <w:t xml:space="preserve"> weist Urheberrechtsvermerke auf allen Kopien der SR aus und beachtet diese. Diese Verpflichtung erlegt der </w:t>
      </w:r>
      <w:r>
        <w:rPr>
          <w:rFonts w:cs="Arial" w:ascii="Arial" w:hAnsi="Arial"/>
          <w:i/>
          <w:iCs/>
          <w:lang w:val="de-DE"/>
        </w:rPr>
        <w:t>Lizenzempfänger</w:t>
      </w:r>
      <w:r>
        <w:rPr>
          <w:rFonts w:cs="Arial" w:ascii="Arial" w:hAnsi="Arial"/>
          <w:lang w:val="de-DE"/>
        </w:rPr>
        <w:t xml:space="preserve"> auch seinen Unterlizenzempfängern auf.</w:t>
      </w:r>
    </w:p>
    <w:p>
      <w:pPr>
        <w:pStyle w:val="OmniPage9"/>
        <w:numPr>
          <w:ilvl w:val="1"/>
          <w:numId w:val="2"/>
        </w:numPr>
        <w:tabs>
          <w:tab w:val="clear" w:pos="1152"/>
          <w:tab w:val="left" w:pos="567" w:leader="none"/>
        </w:tabs>
        <w:spacing w:lineRule="auto" w:line="336" w:before="120" w:after="0"/>
        <w:ind w:left="567" w:right="0" w:hanging="567"/>
        <w:rPr>
          <w:lang w:val="de-DE"/>
        </w:rPr>
      </w:pPr>
      <w:r>
        <w:rPr>
          <w:lang w:val="de-DE"/>
        </w:rPr>
        <w:t xml:space="preserve">Die Verpflichtung des </w:t>
      </w:r>
      <w:r>
        <w:rPr>
          <w:i/>
          <w:iCs/>
          <w:lang w:val="de-DE"/>
        </w:rPr>
        <w:t>Lizenzempfängers</w:t>
      </w:r>
      <w:r>
        <w:rPr>
          <w:lang w:val="de-DE"/>
        </w:rPr>
        <w:t xml:space="preserve"> nach diesem Artikel 3 besteht auch nach Beendigung oder Ablauf der </w:t>
      </w:r>
      <w:r>
        <w:rPr>
          <w:i/>
          <w:iCs/>
          <w:lang w:val="de-DE"/>
        </w:rPr>
        <w:t xml:space="preserve">Vereinbarung </w:t>
      </w:r>
      <w:r>
        <w:rPr>
          <w:lang w:val="de-DE"/>
        </w:rPr>
        <w:t xml:space="preserve">fort und endet 5 (fünf) Jahre nach Beendigung der </w:t>
      </w:r>
      <w:r>
        <w:rPr>
          <w:i/>
          <w:iCs/>
          <w:lang w:val="de-DE"/>
        </w:rPr>
        <w:t>Vereinbarung</w:t>
      </w:r>
      <w:r>
        <w:rPr>
          <w:lang w:val="de-DE"/>
        </w:rPr>
        <w:t>.</w:t>
      </w:r>
    </w:p>
    <w:p>
      <w:pPr>
        <w:pStyle w:val="OmniPage9"/>
        <w:numPr>
          <w:ilvl w:val="1"/>
          <w:numId w:val="2"/>
        </w:numPr>
        <w:tabs>
          <w:tab w:val="clear" w:pos="1152"/>
          <w:tab w:val="left" w:pos="567" w:leader="none"/>
        </w:tabs>
        <w:spacing w:lineRule="auto" w:line="336" w:before="120" w:after="0"/>
        <w:ind w:left="567" w:right="0" w:hanging="567"/>
        <w:rPr>
          <w:lang w:val="de-DE"/>
        </w:rPr>
      </w:pPr>
      <w:r>
        <w:rPr>
          <w:lang w:val="de-DE"/>
        </w:rPr>
        <w:t xml:space="preserve">Als Mitglied von CLARIN bietet der </w:t>
      </w:r>
      <w:r>
        <w:rPr>
          <w:i/>
          <w:iCs/>
          <w:lang w:val="de-DE"/>
        </w:rPr>
        <w:t>Lizenzempfänger</w:t>
      </w:r>
      <w:r>
        <w:rPr>
          <w:lang w:val="de-DE"/>
        </w:rPr>
        <w:t xml:space="preserve"> drei verschiedene Grundmodelle für die Lizenz an, von denen der </w:t>
      </w:r>
      <w:r>
        <w:rPr>
          <w:i/>
          <w:iCs/>
          <w:lang w:val="de-DE"/>
        </w:rPr>
        <w:t>Lizenzgeber</w:t>
      </w:r>
      <w:r>
        <w:rPr>
          <w:lang w:val="de-DE"/>
        </w:rPr>
        <w:t xml:space="preserve"> eines für die Unterlizensierung der SR wählt (siehe Anlage B):</w:t>
        <w:br/>
        <w:t>„PUB“: uneingeschränkter Online-Zugang ohne Anmeldung (Single-Sign-On); uneingeschränkte Nutzung außer unethischer Nutzung und Weiterdistribution der SR an Dritte (einschließlich Ableitungen, mithilfe derer die SR rekonstruiert werden können).</w:t>
        <w:br/>
        <w:t xml:space="preserve">„ACA“: uneingeschränkter Online-Zugang über AAI-DFN Shibboleth Single-Sign-On für alle akademischen Nutzer, die ein offizielles akademisches Konto bei einer Universität haben, die Teil der CLARIN IdP Federation ist; uneingeschränkte Nutzung für diese Nutzerklasse außer unethischer Nutzung und Weiterdistribution der SR an Dritte (einschließlich Ableitungen, mithilfe derer die SR rekonstruiert werden können). Der </w:t>
      </w:r>
      <w:r>
        <w:rPr>
          <w:i/>
          <w:iCs/>
          <w:lang w:val="de-DE"/>
        </w:rPr>
        <w:t>Lizenzgeber</w:t>
      </w:r>
      <w:r>
        <w:rPr>
          <w:lang w:val="de-DE"/>
        </w:rPr>
        <w:t xml:space="preserve"> kann nach Überprüfung weiteren Nutzern den Zugang gewähren, welche nicht in Verbindung mit einer Universität stehen, die Teil der CLARIN IdP Federation ist.</w:t>
        <w:br/>
        <w:t xml:space="preserve">„RES“: uneingeschränkter Online-Zugang über AAI-DFN Shibboleth Single-Sign-On für alle Nutzer, denen der </w:t>
      </w:r>
      <w:r>
        <w:rPr>
          <w:i/>
          <w:iCs/>
          <w:lang w:val="de-DE"/>
        </w:rPr>
        <w:t>Lizenzgeber</w:t>
      </w:r>
      <w:r>
        <w:rPr>
          <w:lang w:val="de-DE"/>
        </w:rPr>
        <w:t xml:space="preserve"> explizit Zugang gewährt hat; uneingeschränkte Nutzung für diese Nutzer außer unethischer Nutzung und Weiterdistribution der SR an Dritte (einschließlich Ableitungen, mithilfe derer die SR rekonstruiert werden können).</w:t>
        <w:br/>
        <w:t xml:space="preserve">„RES“ Lizenzen sind auf 10 Jahre nach Aufnahme der SR in das BAS  beschränkt; nach 10 Jahren (und dann jedes Jahr) muss der </w:t>
      </w:r>
      <w:r>
        <w:rPr>
          <w:i/>
          <w:lang w:val="de-DE"/>
        </w:rPr>
        <w:t>Lizenzempfänger</w:t>
      </w:r>
      <w:r>
        <w:rPr>
          <w:lang w:val="de-DE"/>
        </w:rPr>
        <w:t xml:space="preserve"> den </w:t>
      </w:r>
      <w:r>
        <w:rPr>
          <w:i/>
          <w:lang w:val="de-DE"/>
        </w:rPr>
        <w:t>Lizenzgeber</w:t>
      </w:r>
      <w:r>
        <w:rPr>
          <w:lang w:val="de-DE"/>
        </w:rPr>
        <w:t xml:space="preserve"> für eine Verlängerung der Lizenz um ein weiteres Jahr kontaktieren. Der </w:t>
      </w:r>
      <w:r>
        <w:rPr>
          <w:i/>
          <w:lang w:val="de-DE"/>
        </w:rPr>
        <w:t>Lizenzgeber</w:t>
      </w:r>
      <w:r>
        <w:rPr>
          <w:lang w:val="de-DE"/>
        </w:rPr>
        <w:t xml:space="preserve"> kann die weitere Lizensierung nach „RES“ bestätigen oder die Lizenz in eine „ACA“- oder „PUB“-Lizenz umwandeln lassen. Wenn der </w:t>
      </w:r>
      <w:r>
        <w:rPr>
          <w:i/>
          <w:lang w:val="de-DE"/>
        </w:rPr>
        <w:t>Lizenzgeber</w:t>
      </w:r>
      <w:r>
        <w:rPr>
          <w:lang w:val="de-DE"/>
        </w:rPr>
        <w:t xml:space="preserve"> oder sein gesetzlicher Nachfolger vom </w:t>
      </w:r>
      <w:r>
        <w:rPr>
          <w:i/>
          <w:lang w:val="de-DE"/>
        </w:rPr>
        <w:t>Lizenzempfänger</w:t>
      </w:r>
      <w:r>
        <w:rPr>
          <w:lang w:val="de-DE"/>
        </w:rPr>
        <w:t xml:space="preserve"> nicht mehr kontaktiert werden kann, hat der </w:t>
      </w:r>
      <w:r>
        <w:rPr>
          <w:i/>
          <w:lang w:val="de-DE"/>
        </w:rPr>
        <w:t>Lizenzempfänger</w:t>
      </w:r>
      <w:r>
        <w:rPr>
          <w:lang w:val="de-DE"/>
        </w:rPr>
        <w:t xml:space="preserve"> das Recht, die Lizenz permanent in eine „ACA“-Lizenz umzuwandeln. Durch Wahl des „RES“-Lizenzmodells stimmt der </w:t>
      </w:r>
      <w:r>
        <w:rPr>
          <w:i/>
          <w:lang w:val="de-DE"/>
        </w:rPr>
        <w:t>Lizenzgeber</w:t>
      </w:r>
      <w:r>
        <w:rPr>
          <w:lang w:val="de-DE"/>
        </w:rPr>
        <w:t xml:space="preserve"> dieser Regelung zu.</w:t>
      </w:r>
    </w:p>
    <w:p>
      <w:pPr>
        <w:pStyle w:val="OmniPage9"/>
        <w:numPr>
          <w:ilvl w:val="1"/>
          <w:numId w:val="2"/>
        </w:numPr>
        <w:tabs>
          <w:tab w:val="clear" w:pos="1152"/>
          <w:tab w:val="left" w:pos="567" w:leader="none"/>
        </w:tabs>
        <w:spacing w:lineRule="auto" w:line="336" w:before="120" w:after="0"/>
        <w:ind w:left="567" w:right="0" w:hanging="567"/>
        <w:rPr>
          <w:lang w:val="de-DE"/>
        </w:rPr>
      </w:pPr>
      <w:r>
        <w:rPr>
          <w:lang w:val="de-DE"/>
        </w:rPr>
        <w:t xml:space="preserve">Der </w:t>
      </w:r>
      <w:r>
        <w:rPr>
          <w:i/>
          <w:iCs/>
          <w:lang w:val="de-DE"/>
        </w:rPr>
        <w:t>Lizenzempfänger</w:t>
      </w:r>
      <w:r>
        <w:rPr>
          <w:lang w:val="de-DE"/>
        </w:rPr>
        <w:t xml:space="preserve"> ist aufgrund der Grundsätze von CLARIN verpflichtet, alle Metadaten der SR auf seiner Website und über andere öffentliche Kanäle (wie OAI-PMH) ohne Einschränkungen zu veröffentlichen; daher fallen diese nicht unter die Behandlung in Absatz 3.4. </w:t>
        <w:br/>
        <w:t xml:space="preserve">Metadaten sind die Daten, die in der komponentenbasierten Metadatenbeschreibung (CMDI-Datei) enthalten sind, die von dem </w:t>
      </w:r>
      <w:r>
        <w:rPr>
          <w:i/>
          <w:iCs/>
          <w:lang w:val="de-DE"/>
        </w:rPr>
        <w:t>Lizenzgeber</w:t>
      </w:r>
      <w:r>
        <w:rPr>
          <w:lang w:val="de-DE"/>
        </w:rPr>
        <w:t xml:space="preserve"> beim Ingest oder bei späteren Updates dem </w:t>
      </w:r>
      <w:r>
        <w:rPr>
          <w:i/>
          <w:iCs/>
          <w:lang w:val="de-DE"/>
        </w:rPr>
        <w:t>Lizenzempfänger</w:t>
      </w:r>
      <w:r>
        <w:rPr>
          <w:lang w:val="de-DE"/>
        </w:rPr>
        <w:t xml:space="preserve"> zur Verfügung gestellt wird. Der Inhalt der SR-Dokumentation (Begleitdokumente, Photos, Biographien etc.) fällt nicht unter die Definition von Metadaten und wird daher wie die Daten unter Absatz 3.4 behandelt. Der </w:t>
      </w:r>
      <w:r>
        <w:rPr>
          <w:i/>
          <w:iCs/>
          <w:lang w:val="de-DE"/>
        </w:rPr>
        <w:t xml:space="preserve">Lizenzgeber </w:t>
      </w:r>
      <w:r>
        <w:rPr>
          <w:lang w:val="de-DE"/>
        </w:rPr>
        <w:t>stimmt diesen Grundsätzen zu und ist dafür verantwortlich, sensible Informationen vor Ingest aus den CMDI-Dateien herauszufiltern.</w:t>
      </w:r>
    </w:p>
    <w:p>
      <w:pPr>
        <w:pStyle w:val="OmniPage9"/>
        <w:numPr>
          <w:ilvl w:val="0"/>
          <w:numId w:val="2"/>
        </w:numPr>
        <w:tabs>
          <w:tab w:val="clear" w:pos="1152"/>
          <w:tab w:val="left" w:pos="567" w:leader="none"/>
        </w:tabs>
        <w:spacing w:lineRule="auto" w:line="336" w:before="360" w:after="0"/>
        <w:ind w:left="567" w:right="0" w:hanging="567"/>
        <w:rPr>
          <w:b/>
          <w:b/>
          <w:bCs/>
          <w:lang w:val="de-DE"/>
        </w:rPr>
      </w:pPr>
      <w:r>
        <w:rPr>
          <w:b/>
          <w:bCs/>
          <w:lang w:val="de-DE"/>
        </w:rPr>
        <w:t>Gewährleistung</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Der </w:t>
      </w:r>
      <w:r>
        <w:rPr>
          <w:rFonts w:cs="Arial" w:ascii="Arial" w:hAnsi="Arial"/>
          <w:i/>
          <w:iCs/>
          <w:lang w:val="de-DE"/>
        </w:rPr>
        <w:t>Lizenzgeber</w:t>
      </w:r>
      <w:r>
        <w:rPr>
          <w:rFonts w:cs="Arial" w:ascii="Arial" w:hAnsi="Arial"/>
          <w:lang w:val="de-DE"/>
        </w:rPr>
        <w:t xml:space="preserve"> gewährleistet, dass er alle Rechte an den SR entwickelt hat und diese in seinem Eigentum stehen. Der </w:t>
      </w:r>
      <w:r>
        <w:rPr>
          <w:rFonts w:cs="Arial" w:ascii="Arial" w:hAnsi="Arial"/>
          <w:i/>
          <w:iCs/>
          <w:lang w:val="de-DE"/>
        </w:rPr>
        <w:t>Lizenzempfänger</w:t>
      </w:r>
      <w:r>
        <w:rPr>
          <w:rFonts w:cs="Arial" w:ascii="Arial" w:hAnsi="Arial"/>
          <w:lang w:val="de-DE"/>
        </w:rPr>
        <w:t xml:space="preserve"> bestätigt, dass die SR so zur Verfügung gestellt werden, „wie sie sind“ (ohne Mängelgewähr). Der </w:t>
      </w:r>
      <w:r>
        <w:rPr>
          <w:rFonts w:cs="Arial" w:ascii="Arial" w:hAnsi="Arial"/>
          <w:i/>
          <w:iCs/>
          <w:lang w:val="de-DE"/>
        </w:rPr>
        <w:t>Lizenzgeber</w:t>
      </w:r>
      <w:r>
        <w:rPr>
          <w:rFonts w:cs="Arial" w:ascii="Arial" w:hAnsi="Arial"/>
          <w:lang w:val="de-DE"/>
        </w:rPr>
        <w:t xml:space="preserve"> gibt keinerlei Gewährleistung für die SR weder durch Zusicherung in der </w:t>
      </w:r>
      <w:r>
        <w:rPr>
          <w:rFonts w:cs="Arial" w:ascii="Arial" w:hAnsi="Arial"/>
          <w:iCs/>
          <w:lang w:val="de-DE"/>
        </w:rPr>
        <w:t>Vereinbarung</w:t>
      </w:r>
      <w:r>
        <w:rPr>
          <w:rFonts w:cs="Arial" w:ascii="Arial" w:hAnsi="Arial"/>
          <w:lang w:val="de-DE"/>
        </w:rPr>
        <w:t xml:space="preserve"> noch stillschweigend durch Gesetz.</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Die oben genannte beschränkte Gewährleistung ist die einzige Gewährleistung des </w:t>
      </w:r>
      <w:r>
        <w:rPr>
          <w:rFonts w:cs="Arial" w:ascii="Arial" w:hAnsi="Arial"/>
          <w:i/>
          <w:iCs/>
          <w:lang w:val="de-DE"/>
        </w:rPr>
        <w:t>Lizenzgebers</w:t>
      </w:r>
      <w:r>
        <w:rPr>
          <w:rFonts w:cs="Arial" w:ascii="Arial" w:hAnsi="Arial"/>
          <w:lang w:val="de-DE"/>
        </w:rPr>
        <w:t xml:space="preserve"> und alle Gewährleistungen für die Eignung zum üblichen Zweck und/oder für die Eignung zu einem besonderen Zweck werden ausdrücklich ausgeschlossen. </w:t>
      </w:r>
    </w:p>
    <w:p>
      <w:pPr>
        <w:pStyle w:val="OmniPage9"/>
        <w:numPr>
          <w:ilvl w:val="1"/>
          <w:numId w:val="2"/>
        </w:numPr>
        <w:tabs>
          <w:tab w:val="clear" w:pos="1152"/>
          <w:tab w:val="left" w:pos="567" w:leader="none"/>
        </w:tabs>
        <w:spacing w:lineRule="auto" w:line="336" w:before="120" w:after="0"/>
        <w:ind w:left="567" w:right="0" w:hanging="567"/>
        <w:rPr>
          <w:rFonts w:ascii="Arial" w:hAnsi="Arial" w:cs="Arial"/>
          <w:lang w:val="de-DE"/>
        </w:rPr>
      </w:pPr>
      <w:r>
        <w:rPr>
          <w:rFonts w:cs="Arial" w:ascii="Arial" w:hAnsi="Arial"/>
          <w:lang w:val="de-DE"/>
        </w:rPr>
        <w:t>Keine Partei haftet für Folgeschäden außer bei grober Fahrlässigkeit oder Vorsatz.</w:t>
      </w:r>
    </w:p>
    <w:p>
      <w:pPr>
        <w:pStyle w:val="OmniPage9"/>
        <w:numPr>
          <w:ilvl w:val="0"/>
          <w:numId w:val="2"/>
        </w:numPr>
        <w:tabs>
          <w:tab w:val="clear" w:pos="1152"/>
          <w:tab w:val="left" w:pos="567" w:leader="none"/>
        </w:tabs>
        <w:spacing w:lineRule="auto" w:line="336" w:before="360" w:after="0"/>
        <w:ind w:left="567" w:right="0" w:hanging="567"/>
        <w:rPr>
          <w:rFonts w:ascii="Arial" w:hAnsi="Arial" w:cs="Arial"/>
          <w:b/>
          <w:b/>
          <w:bCs/>
          <w:lang w:val="de-DE"/>
        </w:rPr>
      </w:pPr>
      <w:r>
        <w:rPr>
          <w:rFonts w:cs="Arial" w:ascii="Arial" w:hAnsi="Arial"/>
          <w:b/>
          <w:bCs/>
          <w:lang w:val="de-DE"/>
        </w:rPr>
        <w:t>Entgelt</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Der </w:t>
      </w:r>
      <w:r>
        <w:rPr>
          <w:rFonts w:cs="Arial" w:ascii="Arial" w:hAnsi="Arial"/>
          <w:i/>
          <w:iCs/>
          <w:lang w:val="de-DE"/>
        </w:rPr>
        <w:t>Lizenzgeber</w:t>
      </w:r>
      <w:r>
        <w:rPr>
          <w:rFonts w:cs="Arial" w:ascii="Arial" w:hAnsi="Arial"/>
          <w:lang w:val="de-DE"/>
        </w:rPr>
        <w:t xml:space="preserve"> verzichtet auf jegliches Entgelt.</w:t>
      </w:r>
    </w:p>
    <w:p>
      <w:pPr>
        <w:pStyle w:val="OmniPage9"/>
        <w:numPr>
          <w:ilvl w:val="1"/>
          <w:numId w:val="2"/>
        </w:numPr>
        <w:tabs>
          <w:tab w:val="clear" w:pos="1152"/>
          <w:tab w:val="left" w:pos="567" w:leader="none"/>
        </w:tabs>
        <w:spacing w:lineRule="auto" w:line="336" w:before="120" w:after="0"/>
        <w:ind w:left="567" w:right="0" w:hanging="567"/>
        <w:rPr>
          <w:lang w:val="de-DE"/>
        </w:rPr>
      </w:pPr>
      <w:r>
        <w:rPr>
          <w:lang w:val="de-DE"/>
        </w:rPr>
        <w:t xml:space="preserve">Der </w:t>
      </w:r>
      <w:r>
        <w:rPr>
          <w:i/>
          <w:iCs/>
          <w:lang w:val="de-DE"/>
        </w:rPr>
        <w:t>Lizenzgeber</w:t>
      </w:r>
      <w:r>
        <w:rPr>
          <w:lang w:val="de-DE"/>
        </w:rPr>
        <w:t xml:space="preserve"> zahlt dem </w:t>
      </w:r>
      <w:r>
        <w:rPr>
          <w:i/>
          <w:iCs/>
          <w:lang w:val="de-DE"/>
        </w:rPr>
        <w:t>Lizenzempfänger</w:t>
      </w:r>
      <w:r>
        <w:rPr>
          <w:lang w:val="de-DE"/>
        </w:rPr>
        <w:t xml:space="preserve"> eine einmalige Gebühr, die sich abhängig von der Größe der Interview-Sammlung nach dem in Anlage C dargestellten Schema berechnet. Mit dieser Gebühr sollen die Kosten für Pflege und Hardware zur Archivierung und Sicherung der SR für mindestens 20 Jahre gedeckt werden. </w:t>
      </w:r>
    </w:p>
    <w:p>
      <w:pPr>
        <w:pStyle w:val="OmniPage9"/>
        <w:numPr>
          <w:ilvl w:val="0"/>
          <w:numId w:val="2"/>
        </w:numPr>
        <w:tabs>
          <w:tab w:val="clear" w:pos="1152"/>
          <w:tab w:val="left" w:pos="567" w:leader="none"/>
        </w:tabs>
        <w:spacing w:lineRule="auto" w:line="336" w:before="360" w:after="0"/>
        <w:ind w:left="567" w:right="0" w:hanging="567"/>
        <w:rPr>
          <w:rFonts w:ascii="Arial" w:hAnsi="Arial" w:cs="Arial"/>
          <w:b/>
          <w:b/>
          <w:bCs/>
          <w:lang w:val="de-DE"/>
        </w:rPr>
      </w:pPr>
      <w:r>
        <w:rPr>
          <w:rFonts w:cs="Arial" w:ascii="Arial" w:hAnsi="Arial"/>
          <w:b/>
          <w:bCs/>
          <w:lang w:val="de-DE"/>
        </w:rPr>
        <w:t>Laufzeit und Beendigung</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Die </w:t>
      </w:r>
      <w:r>
        <w:rPr>
          <w:rFonts w:cs="Arial" w:ascii="Arial" w:hAnsi="Arial"/>
          <w:i/>
          <w:iCs/>
          <w:lang w:val="de-DE"/>
        </w:rPr>
        <w:t xml:space="preserve">Vereinbarung </w:t>
      </w:r>
      <w:r>
        <w:rPr>
          <w:rFonts w:cs="Arial" w:ascii="Arial" w:hAnsi="Arial"/>
          <w:lang w:val="de-DE"/>
        </w:rPr>
        <w:t xml:space="preserve">tritt in Kraft, wenn beide Parteien die </w:t>
      </w:r>
      <w:r>
        <w:rPr>
          <w:rFonts w:cs="Arial" w:ascii="Arial" w:hAnsi="Arial"/>
          <w:i/>
          <w:iCs/>
          <w:lang w:val="de-DE"/>
        </w:rPr>
        <w:t>Vereinbarung</w:t>
      </w:r>
      <w:r>
        <w:rPr>
          <w:rFonts w:cs="Arial" w:ascii="Arial" w:hAnsi="Arial"/>
          <w:lang w:val="de-DE"/>
        </w:rPr>
        <w:t xml:space="preserve"> unterzeichnet haben, und bleibt so lange in Kraft, bis eine der Parteien schriftlich mit einer Frist von sechs Monaten gekündigt hat. </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Das BAS ist Teil des europäischen CLARIN ERIC. Daher ist das BAS berechtigt, den vollständigen Archivinhalt zusammen mit allen erworbenen Rechten an ein anderes CLARIN-Partnerzentrum zu übertragen. Das BAS als </w:t>
      </w:r>
      <w:r>
        <w:rPr>
          <w:rFonts w:cs="Arial" w:ascii="Arial" w:hAnsi="Arial"/>
          <w:i/>
          <w:lang w:val="de-DE"/>
        </w:rPr>
        <w:t>Lizenzempfänger</w:t>
      </w:r>
      <w:r>
        <w:rPr>
          <w:rFonts w:cs="Arial" w:ascii="Arial" w:hAnsi="Arial"/>
          <w:lang w:val="de-DE"/>
        </w:rPr>
        <w:t xml:space="preserve"> wird den </w:t>
      </w:r>
      <w:r>
        <w:rPr>
          <w:rFonts w:cs="Arial" w:ascii="Arial" w:hAnsi="Arial"/>
          <w:i/>
          <w:iCs/>
          <w:lang w:val="de-DE"/>
        </w:rPr>
        <w:t>Lizenzgeber</w:t>
      </w:r>
      <w:r>
        <w:rPr>
          <w:rFonts w:cs="Arial" w:ascii="Arial" w:hAnsi="Arial"/>
          <w:lang w:val="de-DE"/>
        </w:rPr>
        <w:t xml:space="preserve"> rechtzeitig darüber informieren. Wenn der </w:t>
      </w:r>
      <w:r>
        <w:rPr>
          <w:rFonts w:cs="Arial" w:ascii="Arial" w:hAnsi="Arial"/>
          <w:i/>
          <w:iCs/>
          <w:lang w:val="de-DE"/>
        </w:rPr>
        <w:t>Lizenzgeber</w:t>
      </w:r>
      <w:r>
        <w:rPr>
          <w:rFonts w:cs="Arial" w:ascii="Arial" w:hAnsi="Arial"/>
          <w:lang w:val="de-DE"/>
        </w:rPr>
        <w:t xml:space="preserve"> dieser Übertragung nicht zustimmt, kann er diese Vereinbarung fristlos kündigen.</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Sollte diese Vereinbarung beendet werden, ist der </w:t>
      </w:r>
      <w:r>
        <w:rPr>
          <w:rFonts w:cs="Arial" w:ascii="Arial" w:hAnsi="Arial"/>
          <w:i/>
          <w:lang w:val="de-DE"/>
        </w:rPr>
        <w:t>Lizenzempfänger</w:t>
      </w:r>
      <w:r>
        <w:rPr>
          <w:rFonts w:cs="Arial" w:ascii="Arial" w:hAnsi="Arial"/>
          <w:lang w:val="de-DE"/>
        </w:rPr>
        <w:t xml:space="preserve"> verpflichtet die SR und alle Kopien zu löschen. </w:t>
      </w:r>
    </w:p>
    <w:p>
      <w:pPr>
        <w:pStyle w:val="OmniPage9"/>
        <w:numPr>
          <w:ilvl w:val="0"/>
          <w:numId w:val="2"/>
        </w:numPr>
        <w:tabs>
          <w:tab w:val="clear" w:pos="1152"/>
          <w:tab w:val="left" w:pos="567" w:leader="none"/>
        </w:tabs>
        <w:spacing w:lineRule="auto" w:line="336" w:before="360" w:after="0"/>
        <w:ind w:left="567" w:right="0" w:hanging="567"/>
        <w:rPr>
          <w:rFonts w:ascii="Arial" w:hAnsi="Arial" w:cs="Arial"/>
          <w:b/>
          <w:b/>
          <w:bCs/>
          <w:lang w:val="de-DE"/>
        </w:rPr>
      </w:pPr>
      <w:r>
        <w:rPr>
          <w:rFonts w:cs="Arial" w:ascii="Arial" w:hAnsi="Arial"/>
          <w:b/>
          <w:bCs/>
          <w:lang w:val="de-DE"/>
        </w:rPr>
        <w:t>Sonstiges</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Eine Änderung dieser </w:t>
      </w:r>
      <w:r>
        <w:rPr>
          <w:rFonts w:cs="Arial" w:ascii="Arial" w:hAnsi="Arial"/>
          <w:i/>
          <w:iCs/>
          <w:lang w:val="de-DE"/>
        </w:rPr>
        <w:t>Vereinbarung</w:t>
      </w:r>
      <w:r>
        <w:rPr>
          <w:rFonts w:cs="Arial" w:ascii="Arial" w:hAnsi="Arial"/>
          <w:lang w:val="de-DE"/>
        </w:rPr>
        <w:t xml:space="preserve"> kann nur schriftlich und ordnungsgemäß von beiden Parteien unterzeichnet vorgenommen werden. Auf diese Vorgehensweise kann nur in Schriftform verzichtet werden.</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Sollten Teile oder Bestimmungen dieser </w:t>
      </w:r>
      <w:r>
        <w:rPr>
          <w:rFonts w:cs="Arial" w:ascii="Arial" w:hAnsi="Arial"/>
          <w:i/>
          <w:iCs/>
          <w:lang w:val="de-DE"/>
        </w:rPr>
        <w:t>Vereinbarung</w:t>
      </w:r>
      <w:r>
        <w:rPr>
          <w:rFonts w:cs="Arial" w:ascii="Arial" w:hAnsi="Arial"/>
          <w:lang w:val="de-DE"/>
        </w:rPr>
        <w:t xml:space="preserve"> undurchführbar oder unwirksam sein, bleiben die verbleibenden Teile davon unberührt, und die unwirksamen oder undurchführbaren Teile oder Bestimmungen werden durch Teile oder Bestimmungen ersetzt, die der Zielsetzung der unwirksamen und undurchführbaren Teile oder Bestimmungen am nächsten kommen.</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Auf diese </w:t>
      </w:r>
      <w:r>
        <w:rPr>
          <w:rFonts w:cs="Arial" w:ascii="Arial" w:hAnsi="Arial"/>
          <w:i/>
          <w:iCs/>
          <w:lang w:val="de-DE"/>
        </w:rPr>
        <w:t>Vereinbarung</w:t>
      </w:r>
      <w:r>
        <w:rPr>
          <w:rFonts w:cs="Arial" w:ascii="Arial" w:hAnsi="Arial"/>
          <w:lang w:val="de-DE"/>
        </w:rPr>
        <w:t xml:space="preserve"> findet ausschließlich das Recht der Bundesrepublik Deutschland Anwendung. Sollte es nicht möglich sein, Meinungsverschiedenheiten in Bezug auf diese </w:t>
      </w:r>
      <w:r>
        <w:rPr>
          <w:rFonts w:cs="Arial" w:ascii="Arial" w:hAnsi="Arial"/>
          <w:i/>
          <w:iCs/>
          <w:lang w:val="de-DE"/>
        </w:rPr>
        <w:t xml:space="preserve">Vereinbarung </w:t>
      </w:r>
      <w:r>
        <w:rPr>
          <w:rFonts w:cs="Arial" w:ascii="Arial" w:hAnsi="Arial"/>
          <w:lang w:val="de-DE"/>
        </w:rPr>
        <w:t>einvernehmlich beizulegen, ist eine Entscheidung auf dem ordentlichen Gerichtswege herbeizuführen. Gerichtsstand und Erfüllungsort sind München.</w:t>
      </w:r>
    </w:p>
    <w:p>
      <w:pPr>
        <w:pStyle w:val="OmniPage9"/>
        <w:tabs>
          <w:tab w:val="clear" w:pos="1152"/>
          <w:tab w:val="left" w:pos="173" w:leader="none"/>
        </w:tabs>
        <w:spacing w:lineRule="auto" w:line="336" w:before="480" w:after="0"/>
        <w:ind w:left="0" w:right="0" w:hanging="0"/>
        <w:rPr>
          <w:lang w:val="de-DE"/>
        </w:rPr>
      </w:pPr>
      <w:r>
        <w:rPr>
          <w:lang w:val="de-DE"/>
        </w:rPr>
        <w:t xml:space="preserve">Die gesamte </w:t>
      </w:r>
      <w:r>
        <w:rPr>
          <w:i/>
          <w:iCs/>
          <w:lang w:val="de-DE"/>
        </w:rPr>
        <w:t>Vereinbarung</w:t>
      </w:r>
      <w:r>
        <w:rPr>
          <w:lang w:val="de-DE"/>
        </w:rPr>
        <w:t xml:space="preserve"> besteht aus sieben Artikeln sowie den darauf folgenden Anlagen A und B und C.</w:t>
      </w:r>
    </w:p>
    <w:p>
      <w:pPr>
        <w:pStyle w:val="OmniPage9"/>
        <w:tabs>
          <w:tab w:val="clear" w:pos="1152"/>
          <w:tab w:val="left" w:pos="173" w:leader="none"/>
        </w:tabs>
        <w:spacing w:lineRule="auto" w:line="336" w:before="240" w:after="0"/>
        <w:ind w:left="0" w:right="170" w:hanging="0"/>
        <w:rPr>
          <w:lang w:val="de-DE"/>
        </w:rPr>
      </w:pPr>
      <w:r>
        <w:rPr>
          <w:lang w:val="de-DE"/>
        </w:rPr>
        <w:t xml:space="preserve">ZU URKUND DESSEN haben die Parteien diese </w:t>
      </w:r>
      <w:r>
        <w:rPr>
          <w:i/>
          <w:iCs/>
          <w:lang w:val="de-DE"/>
        </w:rPr>
        <w:t>Vereinbarung</w:t>
      </w:r>
      <w:r>
        <w:rPr>
          <w:lang w:val="de-DE"/>
        </w:rPr>
        <w:t xml:space="preserve"> durch ihre ordnungsgemäß bevollmächtigten leitenden Angestellten oder Vertreter in zweifacher Ausfertigung unterzeichnet.</w:t>
      </w:r>
    </w:p>
    <w:p>
      <w:pPr>
        <w:pStyle w:val="OmniPage9"/>
        <w:tabs>
          <w:tab w:val="clear" w:pos="1152"/>
          <w:tab w:val="left" w:pos="173" w:leader="none"/>
        </w:tabs>
        <w:spacing w:lineRule="auto" w:line="336" w:before="240" w:after="0"/>
        <w:ind w:left="0" w:right="170" w:hanging="0"/>
        <w:rPr>
          <w:lang w:val="de-DE"/>
        </w:rPr>
      </w:pPr>
      <w:r>
        <w:rPr>
          <w:lang w:val="de-DE"/>
        </w:rPr>
      </w:r>
    </w:p>
    <w:tbl>
      <w:tblPr>
        <w:tblW w:w="8506" w:type="dxa"/>
        <w:jc w:val="left"/>
        <w:tblInd w:w="-71" w:type="dxa"/>
        <w:tblCellMar>
          <w:top w:w="0" w:type="dxa"/>
          <w:left w:w="71" w:type="dxa"/>
          <w:bottom w:w="0" w:type="dxa"/>
          <w:right w:w="71" w:type="dxa"/>
        </w:tblCellMar>
        <w:tblLook w:val="0000" w:noHBand="0" w:noVBand="0" w:firstColumn="0" w:lastRow="0" w:lastColumn="0" w:firstRow="0"/>
      </w:tblPr>
      <w:tblGrid>
        <w:gridCol w:w="4345"/>
        <w:gridCol w:w="4160"/>
      </w:tblGrid>
      <w:tr>
        <w:trPr/>
        <w:tc>
          <w:tcPr>
            <w:tcW w:w="4345" w:type="dxa"/>
            <w:tcBorders/>
          </w:tcPr>
          <w:p>
            <w:pPr>
              <w:pStyle w:val="Normal"/>
              <w:snapToGrid w:val="false"/>
              <w:rPr>
                <w:lang w:val="de-DE"/>
              </w:rPr>
            </w:pPr>
            <w:r>
              <w:rPr>
                <w:lang w:val="de-DE"/>
              </w:rPr>
              <w:t>München, ...............................................</w:t>
            </w:r>
          </w:p>
        </w:tc>
        <w:tc>
          <w:tcPr>
            <w:tcW w:w="4160" w:type="dxa"/>
            <w:tcBorders/>
          </w:tcPr>
          <w:p>
            <w:pPr>
              <w:pStyle w:val="Normal"/>
              <w:snapToGrid w:val="false"/>
              <w:rPr>
                <w:lang w:val="de-DE"/>
              </w:rPr>
            </w:pPr>
            <w:r>
              <w:rPr>
                <w:lang w:val="de-DE"/>
              </w:rPr>
              <w:t>Berlin, .............................................</w:t>
            </w:r>
          </w:p>
        </w:tc>
      </w:tr>
      <w:tr>
        <w:trPr/>
        <w:tc>
          <w:tcPr>
            <w:tcW w:w="4345" w:type="dxa"/>
            <w:tcBorders/>
          </w:tcPr>
          <w:p>
            <w:pPr>
              <w:pStyle w:val="Normal"/>
              <w:snapToGrid w:val="false"/>
              <w:rPr>
                <w:lang w:val="de-DE"/>
              </w:rPr>
            </w:pPr>
            <w:r>
              <w:rPr>
                <w:lang w:val="de-DE"/>
              </w:rPr>
            </w:r>
          </w:p>
        </w:tc>
        <w:tc>
          <w:tcPr>
            <w:tcW w:w="4160" w:type="dxa"/>
            <w:tcBorders/>
          </w:tcPr>
          <w:p>
            <w:pPr>
              <w:pStyle w:val="Normal"/>
              <w:snapToGrid w:val="false"/>
              <w:rPr>
                <w:lang w:val="de-DE"/>
              </w:rPr>
            </w:pPr>
            <w:r>
              <w:rPr>
                <w:lang w:val="de-DE"/>
              </w:rPr>
            </w:r>
          </w:p>
        </w:tc>
      </w:tr>
      <w:tr>
        <w:trPr/>
        <w:tc>
          <w:tcPr>
            <w:tcW w:w="4345" w:type="dxa"/>
            <w:tcBorders/>
          </w:tcPr>
          <w:p>
            <w:pPr>
              <w:pStyle w:val="Normal"/>
              <w:snapToGrid w:val="false"/>
              <w:rPr>
                <w:lang w:val="de-DE"/>
              </w:rPr>
            </w:pPr>
            <w:r>
              <w:rPr>
                <w:lang w:val="de-DE"/>
              </w:rPr>
              <w:t>.............................................................</w:t>
            </w:r>
          </w:p>
        </w:tc>
        <w:tc>
          <w:tcPr>
            <w:tcW w:w="4160" w:type="dxa"/>
            <w:tcBorders/>
          </w:tcPr>
          <w:p>
            <w:pPr>
              <w:pStyle w:val="Normal"/>
              <w:snapToGrid w:val="false"/>
              <w:rPr>
                <w:lang w:val="de-DE"/>
              </w:rPr>
            </w:pPr>
            <w:r>
              <w:rPr>
                <w:lang w:val="de-DE"/>
              </w:rPr>
              <w:t>.............................................................</w:t>
            </w:r>
          </w:p>
        </w:tc>
      </w:tr>
      <w:tr>
        <w:trPr/>
        <w:tc>
          <w:tcPr>
            <w:tcW w:w="4345" w:type="dxa"/>
            <w:tcBorders/>
          </w:tcPr>
          <w:p>
            <w:pPr>
              <w:pStyle w:val="Normal"/>
              <w:snapToGrid w:val="false"/>
              <w:rPr>
                <w:lang w:val="de-DE"/>
              </w:rPr>
            </w:pPr>
            <w:r>
              <w:rPr>
                <w:lang w:val="de-DE"/>
              </w:rPr>
              <w:t>(Universität)</w:t>
            </w:r>
          </w:p>
        </w:tc>
        <w:tc>
          <w:tcPr>
            <w:tcW w:w="4160" w:type="dxa"/>
            <w:tcBorders/>
          </w:tcPr>
          <w:p>
            <w:pPr>
              <w:pStyle w:val="Normal"/>
              <w:snapToGrid w:val="false"/>
              <w:rPr>
                <w:lang w:val="de-DE"/>
              </w:rPr>
            </w:pPr>
            <w:r>
              <w:rPr>
                <w:lang w:val="de-DE"/>
              </w:rPr>
              <w:t xml:space="preserve">(Projektleiter </w:t>
            </w:r>
            <w:r>
              <w:rPr>
                <w:lang w:val="de-DE"/>
              </w:rPr>
              <w:t>..............................</w:t>
            </w:r>
            <w:r>
              <w:rPr>
                <w:lang w:val="de-DE"/>
              </w:rPr>
              <w:t>)</w:t>
            </w:r>
          </w:p>
        </w:tc>
      </w:tr>
      <w:tr>
        <w:trPr>
          <w:trHeight w:val="1113" w:hRule="atLeast"/>
        </w:trPr>
        <w:tc>
          <w:tcPr>
            <w:tcW w:w="4345" w:type="dxa"/>
            <w:tcBorders/>
          </w:tcPr>
          <w:p>
            <w:pPr>
              <w:pStyle w:val="Normal"/>
              <w:snapToGrid w:val="false"/>
              <w:rPr>
                <w:lang w:val="de-DE"/>
              </w:rPr>
            </w:pPr>
            <w:r>
              <w:rPr>
                <w:lang w:val="de-DE"/>
              </w:rPr>
            </w:r>
          </w:p>
          <w:p>
            <w:pPr>
              <w:pStyle w:val="Normal"/>
              <w:rPr>
                <w:lang w:val="de-DE"/>
              </w:rPr>
            </w:pPr>
            <w:r>
              <w:rPr>
                <w:lang w:val="de-DE"/>
              </w:rPr>
            </w:r>
          </w:p>
          <w:p>
            <w:pPr>
              <w:pStyle w:val="Normal"/>
              <w:rPr>
                <w:lang w:val="de-DE"/>
              </w:rPr>
            </w:pPr>
            <w:r>
              <w:rPr>
                <w:lang w:val="de-DE"/>
              </w:rPr>
              <w:t>Gesehen und genehmigt:</w:t>
            </w:r>
          </w:p>
        </w:tc>
        <w:tc>
          <w:tcPr>
            <w:tcW w:w="4160" w:type="dxa"/>
            <w:tcBorders/>
          </w:tcPr>
          <w:p>
            <w:pPr>
              <w:pStyle w:val="Normal"/>
              <w:snapToGrid w:val="false"/>
              <w:rPr>
                <w:lang w:val="de-DE"/>
              </w:rPr>
            </w:pPr>
            <w:r>
              <w:rPr>
                <w:lang w:val="de-DE"/>
              </w:rPr>
            </w:r>
          </w:p>
        </w:tc>
      </w:tr>
      <w:tr>
        <w:trPr/>
        <w:tc>
          <w:tcPr>
            <w:tcW w:w="4345" w:type="dxa"/>
            <w:tcBorders/>
          </w:tcPr>
          <w:p>
            <w:pPr>
              <w:pStyle w:val="Normal"/>
              <w:snapToGrid w:val="false"/>
              <w:rPr>
                <w:lang w:val="de-DE"/>
              </w:rPr>
            </w:pPr>
            <w:r>
              <w:rPr>
                <w:lang w:val="de-DE"/>
              </w:rPr>
              <w:t>München, ...............................................</w:t>
            </w:r>
          </w:p>
        </w:tc>
        <w:tc>
          <w:tcPr>
            <w:tcW w:w="4160" w:type="dxa"/>
            <w:tcBorders/>
          </w:tcPr>
          <w:p>
            <w:pPr>
              <w:pStyle w:val="Normal"/>
              <w:snapToGrid w:val="false"/>
              <w:rPr>
                <w:lang w:val="de-DE"/>
              </w:rPr>
            </w:pPr>
            <w:r>
              <w:rPr>
                <w:lang w:val="de-DE"/>
              </w:rPr>
            </w:r>
          </w:p>
        </w:tc>
      </w:tr>
      <w:tr>
        <w:trPr/>
        <w:tc>
          <w:tcPr>
            <w:tcW w:w="4345" w:type="dxa"/>
            <w:tcBorders/>
          </w:tcPr>
          <w:p>
            <w:pPr>
              <w:pStyle w:val="Normal"/>
              <w:snapToGrid w:val="false"/>
              <w:rPr>
                <w:lang w:val="de-DE"/>
              </w:rPr>
            </w:pPr>
            <w:r>
              <w:rPr>
                <w:lang w:val="de-DE"/>
              </w:rPr>
            </w:r>
          </w:p>
        </w:tc>
        <w:tc>
          <w:tcPr>
            <w:tcW w:w="4160" w:type="dxa"/>
            <w:tcBorders/>
          </w:tcPr>
          <w:p>
            <w:pPr>
              <w:pStyle w:val="Normal"/>
              <w:snapToGrid w:val="false"/>
              <w:rPr>
                <w:lang w:val="de-DE"/>
              </w:rPr>
            </w:pPr>
            <w:r>
              <w:rPr>
                <w:lang w:val="de-DE"/>
              </w:rPr>
            </w:r>
          </w:p>
        </w:tc>
      </w:tr>
      <w:tr>
        <w:trPr/>
        <w:tc>
          <w:tcPr>
            <w:tcW w:w="4345" w:type="dxa"/>
            <w:tcBorders/>
          </w:tcPr>
          <w:p>
            <w:pPr>
              <w:pStyle w:val="Normal"/>
              <w:snapToGrid w:val="false"/>
              <w:rPr>
                <w:lang w:val="de-DE"/>
              </w:rPr>
            </w:pPr>
            <w:r>
              <w:rPr>
                <w:lang w:val="de-DE"/>
              </w:rPr>
              <w:t>.............................................................</w:t>
            </w:r>
          </w:p>
        </w:tc>
        <w:tc>
          <w:tcPr>
            <w:tcW w:w="4160" w:type="dxa"/>
            <w:tcBorders/>
          </w:tcPr>
          <w:p>
            <w:pPr>
              <w:pStyle w:val="Normal"/>
              <w:snapToGrid w:val="false"/>
              <w:rPr>
                <w:lang w:val="de-DE"/>
              </w:rPr>
            </w:pPr>
            <w:r>
              <w:rPr>
                <w:lang w:val="de-DE"/>
              </w:rPr>
            </w:r>
          </w:p>
        </w:tc>
      </w:tr>
      <w:tr>
        <w:trPr/>
        <w:tc>
          <w:tcPr>
            <w:tcW w:w="4345" w:type="dxa"/>
            <w:tcBorders/>
          </w:tcPr>
          <w:p>
            <w:pPr>
              <w:pStyle w:val="Normal"/>
              <w:snapToGrid w:val="false"/>
              <w:rPr>
                <w:lang w:val="de-DE"/>
              </w:rPr>
            </w:pPr>
            <w:r>
              <w:rPr>
                <w:lang w:val="de-DE"/>
              </w:rPr>
              <w:t>(Projektleiter)</w:t>
            </w:r>
          </w:p>
        </w:tc>
        <w:tc>
          <w:tcPr>
            <w:tcW w:w="4160" w:type="dxa"/>
            <w:tcBorders/>
          </w:tcPr>
          <w:p>
            <w:pPr>
              <w:pStyle w:val="Normal"/>
              <w:snapToGrid w:val="false"/>
              <w:rPr>
                <w:lang w:val="de-DE"/>
              </w:rPr>
            </w:pPr>
            <w:r>
              <w:rPr>
                <w:lang w:val="de-DE"/>
              </w:rPr>
            </w:r>
          </w:p>
        </w:tc>
      </w:tr>
    </w:tbl>
    <w:p>
      <w:pPr>
        <w:pStyle w:val="OmniPage3"/>
        <w:tabs>
          <w:tab w:val="clear" w:pos="1152"/>
          <w:tab w:val="left" w:pos="4848" w:leader="none"/>
        </w:tabs>
        <w:spacing w:lineRule="auto" w:line="336"/>
        <w:ind w:left="28" w:right="493" w:hanging="0"/>
        <w:rPr>
          <w:lang w:val="de-DE"/>
        </w:rPr>
      </w:pPr>
      <w:r>
        <w:rPr>
          <w:lang w:val="de-DE"/>
        </w:rPr>
        <w:tab/>
      </w:r>
      <w:r>
        <w:br w:type="page"/>
      </w:r>
    </w:p>
    <w:p>
      <w:pPr>
        <w:pStyle w:val="OmniPage3"/>
        <w:spacing w:lineRule="auto" w:line="336" w:before="120" w:after="0"/>
        <w:jc w:val="center"/>
        <w:rPr>
          <w:rFonts w:ascii="Arial" w:hAnsi="Arial" w:cs="Arial"/>
          <w:b/>
          <w:b/>
          <w:bCs/>
          <w:sz w:val="28"/>
          <w:szCs w:val="28"/>
          <w:lang w:val="de-DE"/>
        </w:rPr>
      </w:pPr>
      <w:r>
        <w:rPr>
          <w:rFonts w:cs="Arial" w:ascii="Arial" w:hAnsi="Arial"/>
          <w:b/>
          <w:bCs/>
          <w:sz w:val="28"/>
          <w:szCs w:val="28"/>
          <w:lang w:val="de-DE"/>
        </w:rPr>
        <w:t>Anlage A</w:t>
      </w:r>
    </w:p>
    <w:p>
      <w:pPr>
        <w:pStyle w:val="OmniPage4"/>
        <w:spacing w:lineRule="auto" w:line="336" w:before="240" w:after="0"/>
        <w:jc w:val="left"/>
        <w:rPr>
          <w:lang w:val="de-DE"/>
        </w:rPr>
      </w:pPr>
      <w:r>
        <w:rPr>
          <w:rFonts w:cs="Arial" w:ascii="Arial" w:hAnsi="Arial"/>
          <w:lang w:val="de-DE"/>
        </w:rPr>
        <w:t xml:space="preserve">Lizensierte Sprachressource ist: </w:t>
      </w:r>
      <w:r>
        <w:rPr>
          <w:rFonts w:eastAsia="Arial" w:cs="Arial" w:ascii="Arial" w:hAnsi="Arial"/>
          <w:lang w:val="de-DE"/>
        </w:rPr>
        <w:t>„</w:t>
      </w:r>
      <w:r>
        <w:rPr>
          <w:rFonts w:eastAsia="Arial" w:cs="Arial" w:ascii="Arial" w:hAnsi="Arial"/>
          <w:color w:val="000000"/>
          <w:sz w:val="24"/>
          <w:lang w:val="de-DE" w:bidi="ar-SA"/>
        </w:rPr>
        <w:t>................................................................................</w:t>
      </w:r>
      <w:r>
        <w:rPr>
          <w:rFonts w:eastAsia="Arial" w:cs="Arial" w:ascii="Arial" w:hAnsi="Arial"/>
          <w:lang w:val="de-DE"/>
        </w:rPr>
        <w:t>“</w:t>
      </w:r>
    </w:p>
    <w:p>
      <w:pPr>
        <w:pStyle w:val="OmniPage9"/>
        <w:tabs>
          <w:tab w:val="clear" w:pos="1152"/>
          <w:tab w:val="left" w:pos="173" w:leader="none"/>
        </w:tabs>
        <w:spacing w:lineRule="auto" w:line="336" w:before="240" w:after="0"/>
        <w:ind w:left="0" w:right="0" w:hanging="0"/>
        <w:rPr>
          <w:rFonts w:ascii="Arial" w:hAnsi="Arial" w:cs="Arial"/>
          <w:lang w:val="de-DE"/>
        </w:rPr>
      </w:pPr>
      <w:r>
        <w:rPr>
          <w:rFonts w:cs="Arial" w:ascii="Arial" w:hAnsi="Arial"/>
          <w:lang w:val="de-DE"/>
        </w:rPr>
        <w:t>Beschreibung</w:t>
      </w:r>
    </w:p>
    <w:tbl>
      <w:tblPr>
        <w:tblW w:w="9378" w:type="dxa"/>
        <w:jc w:val="left"/>
        <w:tblInd w:w="-48" w:type="dxa"/>
        <w:tblCellMar>
          <w:top w:w="0" w:type="dxa"/>
          <w:left w:w="108" w:type="dxa"/>
          <w:bottom w:w="0" w:type="dxa"/>
          <w:right w:w="108" w:type="dxa"/>
        </w:tblCellMar>
        <w:tblLook w:val="0000" w:noHBand="0" w:noVBand="0" w:firstColumn="0" w:lastRow="0" w:lastColumn="0" w:firstRow="0"/>
      </w:tblPr>
      <w:tblGrid>
        <w:gridCol w:w="4836"/>
        <w:gridCol w:w="4541"/>
      </w:tblGrid>
      <w:tr>
        <w:trPr/>
        <w:tc>
          <w:tcPr>
            <w:tcW w:w="4836" w:type="dxa"/>
            <w:tcBorders/>
          </w:tcPr>
          <w:p>
            <w:pPr>
              <w:pStyle w:val="OmniPage3"/>
              <w:snapToGrid w:val="false"/>
              <w:spacing w:lineRule="auto" w:line="288" w:before="120" w:after="0"/>
              <w:ind w:left="0" w:right="493" w:hanging="0"/>
              <w:rPr>
                <w:rFonts w:ascii="Arial" w:hAnsi="Arial" w:cs="Arial"/>
                <w:b/>
                <w:b/>
                <w:bCs/>
                <w:lang w:val="de-DE"/>
              </w:rPr>
            </w:pPr>
            <w:r>
              <w:rPr>
                <w:rFonts w:cs="Arial" w:ascii="Arial" w:hAnsi="Arial"/>
                <w:b/>
                <w:bCs/>
                <w:lang w:val="de-DE"/>
              </w:rPr>
              <w:t>Bezeichnung:</w:t>
            </w:r>
          </w:p>
        </w:tc>
        <w:tc>
          <w:tcPr>
            <w:tcW w:w="4541" w:type="dxa"/>
            <w:tcBorders/>
          </w:tcPr>
          <w:p>
            <w:pPr>
              <w:pStyle w:val="OmniPage4"/>
              <w:spacing w:lineRule="auto" w:line="336" w:before="240" w:after="0"/>
              <w:jc w:val="left"/>
              <w:rPr>
                <w:lang w:val="de-DE"/>
              </w:rPr>
            </w:pPr>
            <w:r>
              <w:rPr/>
            </w:r>
          </w:p>
        </w:tc>
      </w:tr>
      <w:tr>
        <w:trPr/>
        <w:tc>
          <w:tcPr>
            <w:tcW w:w="4836" w:type="dxa"/>
            <w:tcBorders/>
          </w:tcPr>
          <w:p>
            <w:pPr>
              <w:pStyle w:val="OmniPage3"/>
              <w:snapToGrid w:val="false"/>
              <w:spacing w:lineRule="auto" w:line="288" w:before="120" w:after="0"/>
              <w:ind w:left="0" w:right="493" w:hanging="0"/>
              <w:rPr>
                <w:b/>
                <w:b/>
                <w:bCs/>
                <w:lang w:val="de-DE"/>
              </w:rPr>
            </w:pPr>
            <w:r>
              <w:rPr>
                <w:b/>
                <w:bCs/>
                <w:lang w:val="de-DE"/>
              </w:rPr>
              <w:t>Autor/Verantwortlicher:</w:t>
            </w:r>
          </w:p>
        </w:tc>
        <w:tc>
          <w:tcPr>
            <w:tcW w:w="4541" w:type="dxa"/>
            <w:tcBorders/>
          </w:tcPr>
          <w:p>
            <w:pPr>
              <w:pStyle w:val="OmniPage3"/>
              <w:snapToGrid w:val="false"/>
              <w:spacing w:lineRule="auto" w:line="288" w:before="120" w:after="0"/>
              <w:ind w:left="0" w:right="493" w:hanging="0"/>
              <w:rPr>
                <w:rFonts w:ascii="Helvetica;Arial" w:hAnsi="Helvetica;Arial" w:eastAsia="Andale Sans UI;Arial Unicode MS" w:cs="Helvetica;Arial"/>
                <w:b w:val="false"/>
                <w:b w:val="false"/>
                <w:bCs w:val="false"/>
                <w:color w:val="000000"/>
                <w:sz w:val="24"/>
                <w:lang w:val="de-DE" w:bidi="ar-SA"/>
              </w:rPr>
            </w:pPr>
            <w:r>
              <w:rPr>
                <w:rFonts w:eastAsia="Andale Sans UI;Arial Unicode MS" w:cs="Helvetica;Arial"/>
                <w:b w:val="false"/>
                <w:bCs w:val="false"/>
                <w:color w:val="000000"/>
                <w:sz w:val="24"/>
                <w:lang w:val="de-DE" w:bidi="ar-SA"/>
              </w:rPr>
              <w:t>(Namen und Mail-Adressen, mindestens 2)</w:t>
            </w:r>
          </w:p>
        </w:tc>
      </w:tr>
      <w:tr>
        <w:trPr/>
        <w:tc>
          <w:tcPr>
            <w:tcW w:w="4836" w:type="dxa"/>
            <w:tcBorders/>
          </w:tcPr>
          <w:p>
            <w:pPr>
              <w:pStyle w:val="OmniPage3"/>
              <w:snapToGrid w:val="false"/>
              <w:spacing w:lineRule="auto" w:line="288" w:before="120" w:after="0"/>
              <w:ind w:left="0" w:right="493" w:hanging="0"/>
              <w:rPr>
                <w:b/>
                <w:b/>
                <w:bCs/>
                <w:lang w:val="de-DE"/>
              </w:rPr>
            </w:pPr>
            <w:r>
              <w:rPr>
                <w:b/>
                <w:bCs/>
                <w:lang w:val="de-DE"/>
              </w:rPr>
              <w:t>Sprache(n):</w:t>
            </w:r>
          </w:p>
        </w:tc>
        <w:tc>
          <w:tcPr>
            <w:tcW w:w="4541" w:type="dxa"/>
            <w:tcBorders/>
          </w:tcPr>
          <w:p>
            <w:pPr>
              <w:pStyle w:val="OmniPage3"/>
              <w:snapToGrid w:val="false"/>
              <w:spacing w:lineRule="auto" w:line="288" w:before="120" w:after="0"/>
              <w:ind w:left="0" w:right="493" w:hanging="0"/>
              <w:rPr>
                <w:lang w:val="de-DE"/>
              </w:rPr>
            </w:pPr>
            <w:r>
              <w:rPr/>
            </w:r>
          </w:p>
        </w:tc>
      </w:tr>
      <w:tr>
        <w:trPr/>
        <w:tc>
          <w:tcPr>
            <w:tcW w:w="4836" w:type="dxa"/>
            <w:tcBorders/>
          </w:tcPr>
          <w:p>
            <w:pPr>
              <w:pStyle w:val="OmniPage3"/>
              <w:snapToGrid w:val="false"/>
              <w:spacing w:lineRule="auto" w:line="288" w:before="120" w:after="0"/>
              <w:ind w:left="0" w:right="493" w:hanging="0"/>
              <w:rPr>
                <w:b/>
                <w:b/>
                <w:bCs/>
                <w:lang w:val="de-DE"/>
              </w:rPr>
            </w:pPr>
            <w:r>
              <w:rPr>
                <w:b/>
                <w:bCs/>
                <w:lang w:val="de-DE"/>
              </w:rPr>
              <w:t>Anzahl der Sprecher/interviewten Personen:</w:t>
            </w:r>
          </w:p>
        </w:tc>
        <w:tc>
          <w:tcPr>
            <w:tcW w:w="4541" w:type="dxa"/>
            <w:tcBorders/>
          </w:tcPr>
          <w:p>
            <w:pPr>
              <w:pStyle w:val="OmniPage3"/>
              <w:snapToGrid w:val="false"/>
              <w:spacing w:lineRule="auto" w:line="288" w:before="120" w:after="0"/>
              <w:ind w:left="0" w:right="493" w:hanging="0"/>
              <w:rPr>
                <w:lang w:val="de-DE"/>
              </w:rPr>
            </w:pPr>
            <w:r>
              <w:rPr/>
            </w:r>
          </w:p>
        </w:tc>
      </w:tr>
      <w:tr>
        <w:trPr/>
        <w:tc>
          <w:tcPr>
            <w:tcW w:w="4836" w:type="dxa"/>
            <w:tcBorders/>
          </w:tcPr>
          <w:p>
            <w:pPr>
              <w:pStyle w:val="OmniPage3"/>
              <w:snapToGrid w:val="false"/>
              <w:spacing w:lineRule="auto" w:line="288" w:before="120" w:after="0"/>
              <w:ind w:left="0" w:right="493" w:hanging="0"/>
              <w:rPr>
                <w:b/>
                <w:b/>
                <w:bCs/>
                <w:lang w:val="de-DE"/>
              </w:rPr>
            </w:pPr>
            <w:r>
              <w:rPr>
                <w:b/>
                <w:bCs/>
                <w:lang w:val="de-DE"/>
              </w:rPr>
              <w:t>Anzahl der Aufnahmen/Interviews:</w:t>
            </w:r>
          </w:p>
        </w:tc>
        <w:tc>
          <w:tcPr>
            <w:tcW w:w="4541" w:type="dxa"/>
            <w:tcBorders/>
          </w:tcPr>
          <w:p>
            <w:pPr>
              <w:pStyle w:val="OmniPage3"/>
              <w:snapToGrid w:val="false"/>
              <w:spacing w:lineRule="auto" w:line="288" w:before="120" w:after="0"/>
              <w:ind w:left="0" w:right="493" w:hanging="0"/>
              <w:rPr>
                <w:lang w:val="de-DE"/>
              </w:rPr>
            </w:pPr>
            <w:r>
              <w:rPr/>
            </w:r>
          </w:p>
        </w:tc>
      </w:tr>
      <w:tr>
        <w:trPr/>
        <w:tc>
          <w:tcPr>
            <w:tcW w:w="4836" w:type="dxa"/>
            <w:tcBorders/>
          </w:tcPr>
          <w:p>
            <w:pPr>
              <w:pStyle w:val="OmniPage3"/>
              <w:snapToGrid w:val="false"/>
              <w:spacing w:lineRule="auto" w:line="288" w:before="120" w:after="0"/>
              <w:ind w:left="0" w:right="493" w:hanging="0"/>
              <w:rPr>
                <w:b/>
                <w:b/>
                <w:bCs/>
                <w:lang w:val="de-DE"/>
              </w:rPr>
            </w:pPr>
            <w:r>
              <w:rPr>
                <w:b/>
                <w:bCs/>
                <w:lang w:val="de-DE"/>
              </w:rPr>
              <w:t>Medienformat:</w:t>
            </w:r>
          </w:p>
        </w:tc>
        <w:tc>
          <w:tcPr>
            <w:tcW w:w="4541" w:type="dxa"/>
            <w:tcBorders/>
          </w:tcPr>
          <w:p>
            <w:pPr>
              <w:pStyle w:val="OmniPage3"/>
              <w:snapToGrid w:val="false"/>
              <w:spacing w:lineRule="auto" w:line="288" w:before="120" w:after="0"/>
              <w:ind w:left="0" w:right="493" w:hanging="0"/>
              <w:rPr>
                <w:lang w:val="de-DE"/>
              </w:rPr>
            </w:pPr>
            <w:r>
              <w:rPr>
                <w:lang w:val="de-DE"/>
              </w:rPr>
              <w:t xml:space="preserve">(z.B. </w:t>
            </w:r>
            <w:r>
              <w:rPr>
                <w:lang w:val="de-DE"/>
              </w:rPr>
              <w:t>MP4</w:t>
            </w:r>
            <w:r>
              <w:rPr>
                <w:lang w:val="de-DE"/>
              </w:rPr>
              <w:t>, WAV, ...)</w:t>
            </w:r>
          </w:p>
        </w:tc>
      </w:tr>
      <w:tr>
        <w:trPr/>
        <w:tc>
          <w:tcPr>
            <w:tcW w:w="4836" w:type="dxa"/>
            <w:tcBorders/>
          </w:tcPr>
          <w:p>
            <w:pPr>
              <w:pStyle w:val="OmniPage3"/>
              <w:snapToGrid w:val="false"/>
              <w:spacing w:lineRule="auto" w:line="288" w:before="120" w:after="0"/>
              <w:ind w:left="0" w:right="493" w:hanging="0"/>
              <w:rPr>
                <w:b/>
                <w:b/>
                <w:bCs/>
                <w:lang w:val="de-DE"/>
              </w:rPr>
            </w:pPr>
            <w:r>
              <w:rPr>
                <w:b/>
                <w:bCs/>
                <w:lang w:val="de-DE"/>
              </w:rPr>
              <w:t>Gesamtes Datenvolumen (Gigabytes):</w:t>
            </w:r>
          </w:p>
        </w:tc>
        <w:tc>
          <w:tcPr>
            <w:tcW w:w="4541" w:type="dxa"/>
            <w:tcBorders/>
          </w:tcPr>
          <w:p>
            <w:pPr>
              <w:pStyle w:val="OmniPage3"/>
              <w:snapToGrid w:val="false"/>
              <w:spacing w:lineRule="auto" w:line="288" w:before="120" w:after="0"/>
              <w:ind w:left="0" w:right="493" w:hanging="0"/>
              <w:rPr>
                <w:lang w:val="de-DE"/>
              </w:rPr>
            </w:pPr>
            <w:r>
              <w:rPr/>
            </w:r>
          </w:p>
        </w:tc>
      </w:tr>
      <w:tr>
        <w:trPr/>
        <w:tc>
          <w:tcPr>
            <w:tcW w:w="4836" w:type="dxa"/>
            <w:tcBorders/>
          </w:tcPr>
          <w:p>
            <w:pPr>
              <w:pStyle w:val="OmniPage3"/>
              <w:snapToGrid w:val="false"/>
              <w:spacing w:lineRule="auto" w:line="288" w:before="120" w:after="0"/>
              <w:ind w:left="0" w:right="493" w:hanging="0"/>
              <w:rPr>
                <w:b/>
                <w:b/>
                <w:bCs/>
                <w:lang w:val="de-DE"/>
              </w:rPr>
            </w:pPr>
            <w:r>
              <w:rPr>
                <w:b/>
                <w:bCs/>
                <w:lang w:val="de-DE"/>
              </w:rPr>
              <w:t>Anzahl der Transkriptionen:</w:t>
            </w:r>
          </w:p>
        </w:tc>
        <w:tc>
          <w:tcPr>
            <w:tcW w:w="4541" w:type="dxa"/>
            <w:tcBorders/>
          </w:tcPr>
          <w:p>
            <w:pPr>
              <w:pStyle w:val="OmniPage3"/>
              <w:snapToGrid w:val="false"/>
              <w:spacing w:lineRule="auto" w:line="288" w:before="120" w:after="0"/>
              <w:ind w:left="0" w:right="493" w:hanging="0"/>
              <w:rPr>
                <w:lang w:val="de-DE"/>
              </w:rPr>
            </w:pPr>
            <w:r>
              <w:rPr>
                <w:lang w:val="de-DE"/>
              </w:rPr>
              <w:t>(muss mindestens der Anzahl der Interviews entsprechen)</w:t>
            </w:r>
          </w:p>
        </w:tc>
      </w:tr>
      <w:tr>
        <w:trPr/>
        <w:tc>
          <w:tcPr>
            <w:tcW w:w="4836" w:type="dxa"/>
            <w:tcBorders/>
          </w:tcPr>
          <w:p>
            <w:pPr>
              <w:pStyle w:val="OmniPage3"/>
              <w:snapToGrid w:val="false"/>
              <w:spacing w:lineRule="auto" w:line="288" w:before="120" w:after="0"/>
              <w:ind w:left="0" w:right="493" w:hanging="0"/>
              <w:rPr>
                <w:b/>
                <w:b/>
                <w:bCs/>
                <w:lang w:val="de-DE"/>
              </w:rPr>
            </w:pPr>
            <w:r>
              <w:rPr>
                <w:b/>
                <w:bCs/>
                <w:lang w:val="de-DE"/>
              </w:rPr>
              <w:t>Transkriptionsformat</w:t>
            </w:r>
          </w:p>
        </w:tc>
        <w:tc>
          <w:tcPr>
            <w:tcW w:w="4541" w:type="dxa"/>
            <w:tcBorders/>
          </w:tcPr>
          <w:p>
            <w:pPr>
              <w:pStyle w:val="OmniPage3"/>
              <w:snapToGrid w:val="false"/>
              <w:spacing w:lineRule="auto" w:line="288" w:before="120" w:after="0"/>
              <w:ind w:left="0" w:right="493" w:hanging="0"/>
              <w:rPr>
                <w:lang w:val="de-DE"/>
              </w:rPr>
            </w:pPr>
            <w:r>
              <w:rPr>
                <w:lang w:val="de-DE"/>
              </w:rPr>
              <w:t xml:space="preserve">(z.B. </w:t>
            </w:r>
            <w:r>
              <w:rPr>
                <w:lang w:val="de-DE"/>
              </w:rPr>
              <w:t>CSV, VTT, PDF</w:t>
            </w:r>
            <w:r>
              <w:rPr>
                <w:lang w:val="de-DE"/>
              </w:rPr>
              <w:t>, ...)</w:t>
            </w:r>
          </w:p>
        </w:tc>
      </w:tr>
    </w:tbl>
    <w:p>
      <w:pPr>
        <w:pStyle w:val="OmniPage3"/>
        <w:spacing w:lineRule="auto" w:line="336" w:before="120" w:after="0"/>
        <w:ind w:left="0" w:right="0" w:hanging="0"/>
        <w:jc w:val="center"/>
        <w:rPr>
          <w:rFonts w:ascii="Arial" w:hAnsi="Arial" w:cs="Arial"/>
          <w:b/>
          <w:b/>
          <w:bCs/>
          <w:sz w:val="28"/>
          <w:szCs w:val="28"/>
          <w:lang w:val="de-DE"/>
        </w:rPr>
      </w:pPr>
      <w:r>
        <w:br w:type="page"/>
      </w:r>
      <w:r>
        <w:rPr>
          <w:rFonts w:cs="Arial" w:ascii="Arial" w:hAnsi="Arial"/>
          <w:b/>
          <w:bCs/>
          <w:sz w:val="28"/>
          <w:szCs w:val="28"/>
          <w:lang w:val="de-DE"/>
        </w:rPr>
        <w:t>Anlage B</w:t>
      </w:r>
    </w:p>
    <w:p>
      <w:pPr>
        <w:pStyle w:val="OmniPage3"/>
        <w:spacing w:lineRule="auto" w:line="336" w:before="240" w:after="240"/>
        <w:ind w:left="0" w:right="0" w:hanging="0"/>
        <w:rPr>
          <w:lang w:val="de-DE"/>
        </w:rPr>
      </w:pPr>
      <w:r>
        <w:rPr>
          <w:rFonts w:cs="Arial" w:ascii="Arial" w:hAnsi="Arial"/>
          <w:lang w:val="de-DE"/>
        </w:rPr>
        <w:t xml:space="preserve">Die in Anlage A beschriebene SR wird vom </w:t>
      </w:r>
      <w:r>
        <w:rPr>
          <w:rFonts w:cs="Arial" w:ascii="Arial" w:hAnsi="Arial"/>
          <w:i/>
          <w:iCs/>
          <w:lang w:val="de-DE"/>
        </w:rPr>
        <w:t>Lizenzempfänger</w:t>
      </w:r>
      <w:r>
        <w:rPr>
          <w:rFonts w:cs="Arial" w:ascii="Arial" w:hAnsi="Arial"/>
          <w:lang w:val="de-DE"/>
        </w:rPr>
        <w:t xml:space="preserve"> nach dem CLARIN Lizenzmodell entsprechend § 3.4 unterlizensiert: </w:t>
      </w:r>
    </w:p>
    <w:p>
      <w:pPr>
        <w:pStyle w:val="OmniPage3"/>
        <w:spacing w:lineRule="auto" w:line="336" w:before="240" w:after="240"/>
        <w:ind w:left="0" w:right="0" w:hanging="0"/>
        <w:jc w:val="center"/>
        <w:rPr>
          <w:rFonts w:ascii="Arial" w:hAnsi="Arial" w:cs="Arial"/>
          <w:lang w:val="de-DE"/>
        </w:rPr>
      </w:pPr>
      <w:r>
        <w:rPr>
          <w:rFonts w:cs="Arial" w:ascii="Arial" w:hAnsi="Arial"/>
          <w:strike w:val="false"/>
          <w:dstrike w:val="false"/>
          <w:lang w:val="de-DE"/>
        </w:rPr>
        <w:t>PUB / ACA /</w:t>
      </w:r>
      <w:r>
        <w:rPr>
          <w:rFonts w:cs="Arial" w:ascii="Arial" w:hAnsi="Arial"/>
          <w:lang w:val="de-DE"/>
        </w:rPr>
        <w:t xml:space="preserve"> </w:t>
      </w:r>
      <w:r>
        <w:rPr>
          <w:rFonts w:cs="Arial" w:ascii="Arial" w:hAnsi="Arial"/>
          <w:u w:val="none"/>
          <w:lang w:val="de-DE"/>
        </w:rPr>
        <w:t>RES</w:t>
      </w:r>
      <w:r>
        <w:rPr>
          <w:rFonts w:cs="Arial" w:ascii="Arial" w:hAnsi="Arial"/>
          <w:lang w:val="de-DE"/>
        </w:rPr>
        <w:t xml:space="preserve">    (eines auswählen)</w:t>
      </w:r>
    </w:p>
    <w:p>
      <w:pPr>
        <w:pStyle w:val="OmniPage3"/>
        <w:spacing w:lineRule="auto" w:line="336" w:before="360" w:after="0"/>
        <w:ind w:left="0" w:right="0" w:hanging="0"/>
        <w:rPr>
          <w:lang w:val="de-DE"/>
        </w:rPr>
      </w:pPr>
      <w:r>
        <w:rPr>
          <w:lang w:val="de-DE"/>
        </w:rPr>
      </w:r>
      <w:r>
        <w:br w:type="page"/>
      </w:r>
    </w:p>
    <w:p>
      <w:pPr>
        <w:pStyle w:val="OmniPage3"/>
        <w:spacing w:lineRule="auto" w:line="336" w:before="120" w:after="0"/>
        <w:ind w:left="0" w:right="0" w:hanging="0"/>
        <w:jc w:val="center"/>
        <w:rPr>
          <w:rFonts w:ascii="Arial" w:hAnsi="Arial" w:cs="Arial"/>
          <w:b/>
          <w:b/>
          <w:bCs/>
          <w:sz w:val="28"/>
          <w:szCs w:val="28"/>
          <w:lang w:val="de-DE"/>
        </w:rPr>
      </w:pPr>
      <w:r>
        <w:rPr>
          <w:rFonts w:cs="Arial" w:ascii="Arial" w:hAnsi="Arial"/>
          <w:b/>
          <w:bCs/>
          <w:sz w:val="28"/>
          <w:szCs w:val="28"/>
          <w:lang w:val="de-DE"/>
        </w:rPr>
        <w:t>Anlage C</w:t>
      </w:r>
    </w:p>
    <w:p>
      <w:pPr>
        <w:pStyle w:val="OmniPage3"/>
        <w:spacing w:lineRule="auto" w:line="336" w:before="120" w:after="0"/>
        <w:ind w:left="0" w:right="0" w:hanging="0"/>
        <w:rPr>
          <w:rFonts w:ascii="Arial" w:hAnsi="Arial" w:cs="Arial"/>
          <w:lang w:val="de-DE"/>
        </w:rPr>
      </w:pPr>
      <w:r>
        <w:rPr>
          <w:rFonts w:cs="Arial" w:ascii="Arial" w:hAnsi="Arial"/>
          <w:lang w:val="de-DE"/>
        </w:rPr>
        <w:t>Einmalige Gebühr entsprechend der Gesamtgröße der SR in Gigabyte (GB) (siehe Anlage A)</w:t>
      </w:r>
    </w:p>
    <w:p>
      <w:pPr>
        <w:pStyle w:val="OmniPage3"/>
        <w:spacing w:lineRule="auto" w:line="336" w:before="120" w:after="0"/>
        <w:ind w:left="0" w:right="0" w:hanging="0"/>
        <w:rPr>
          <w:lang w:val="de-DE"/>
        </w:rPr>
      </w:pPr>
      <w:r>
        <w:rPr>
          <w:rFonts w:cs="Arial" w:ascii="Arial" w:hAnsi="Arial"/>
          <w:lang w:val="de-DE"/>
        </w:rPr>
        <w:t xml:space="preserve">Der </w:t>
      </w:r>
      <w:r>
        <w:rPr>
          <w:rFonts w:cs="Arial" w:ascii="Arial" w:hAnsi="Arial"/>
          <w:i/>
          <w:iCs/>
          <w:lang w:val="de-DE"/>
        </w:rPr>
        <w:t>Lizenzempfänger</w:t>
      </w:r>
      <w:r>
        <w:rPr>
          <w:rFonts w:cs="Arial" w:ascii="Arial" w:hAnsi="Arial"/>
          <w:lang w:val="de-DE"/>
        </w:rPr>
        <w:t xml:space="preserve"> berechnet dem</w:t>
      </w:r>
      <w:r>
        <w:rPr>
          <w:rFonts w:cs="Arial" w:ascii="Arial" w:hAnsi="Arial"/>
          <w:i/>
          <w:iCs/>
          <w:lang w:val="de-DE"/>
        </w:rPr>
        <w:t xml:space="preserve"> Lizenzgeber</w:t>
      </w:r>
      <w:r>
        <w:rPr>
          <w:rFonts w:cs="Arial" w:ascii="Arial" w:hAnsi="Arial"/>
          <w:lang w:val="de-DE"/>
        </w:rPr>
        <w:t xml:space="preserve"> eine einmalige Gebühr, wenn die SR in das BAS Repository übernommen wird (Ingest) und die unten genannten Bedingungen vorliegen. Mit der Gebühr sollen die Kosten für die Pflege der Ressource, die Sicherung mit modernen Doppel-Backup-Verfahren, die Aktualisierung der Medienformate, falls die ursprünglichen Medienformate nur noch selten verwendet werden, die Veröffentlichung der mit der Ressource verbundenen Metadaten über OAI-PMH für einen Zeitraum von 20 Jahren abgedeckt werden.</w:t>
      </w:r>
    </w:p>
    <w:p>
      <w:pPr>
        <w:pStyle w:val="OmniPage3"/>
        <w:spacing w:lineRule="auto" w:line="336" w:before="120" w:after="0"/>
        <w:ind w:left="0" w:right="0" w:hanging="0"/>
        <w:rPr>
          <w:rFonts w:ascii="Arial" w:hAnsi="Arial" w:cs="Arial"/>
          <w:lang w:val="de-DE"/>
        </w:rPr>
      </w:pPr>
      <w:r>
        <w:rPr>
          <w:rFonts w:cs="Arial" w:ascii="Arial" w:hAnsi="Arial"/>
          <w:lang w:val="de-DE"/>
        </w:rPr>
        <w:t>C 1. Eine Ressource bis zu einer Gesamtgröße von 20 GB wird kostenlos übernommen und archiviert.</w:t>
      </w:r>
    </w:p>
    <w:p>
      <w:pPr>
        <w:pStyle w:val="OmniPage3"/>
        <w:spacing w:lineRule="auto" w:line="336" w:before="120" w:after="0"/>
        <w:ind w:left="0" w:right="0" w:hanging="0"/>
        <w:rPr>
          <w:lang w:val="de-DE"/>
        </w:rPr>
      </w:pPr>
      <w:r>
        <w:rPr>
          <w:rFonts w:cs="Arial" w:ascii="Arial" w:hAnsi="Arial"/>
          <w:lang w:val="de-DE"/>
        </w:rPr>
        <w:t xml:space="preserve">C 2. Für eine Ressource mit einer Gesamtgröße von mehr als 20 GB und weniger als 1000 GB berechnet der </w:t>
      </w:r>
      <w:r>
        <w:rPr>
          <w:rFonts w:cs="Arial" w:ascii="Arial" w:hAnsi="Arial"/>
          <w:i/>
          <w:iCs/>
          <w:lang w:val="de-DE"/>
        </w:rPr>
        <w:t>Lizenzempfänger</w:t>
      </w:r>
      <w:r>
        <w:rPr>
          <w:rFonts w:cs="Arial" w:ascii="Arial" w:hAnsi="Arial"/>
          <w:lang w:val="de-DE"/>
        </w:rPr>
        <w:t xml:space="preserve"> eine einmalige Gebühr von EUR 0,50 je GB (abzüglich EUR 10 für die ersten 20 GB).</w:t>
      </w:r>
    </w:p>
    <w:p>
      <w:pPr>
        <w:pStyle w:val="OmniPage3"/>
        <w:spacing w:lineRule="auto" w:line="336" w:before="120" w:after="0"/>
        <w:ind w:left="0" w:right="0" w:hanging="0"/>
        <w:rPr>
          <w:lang w:val="de-DE"/>
        </w:rPr>
      </w:pPr>
      <w:r>
        <w:rPr>
          <w:rFonts w:cs="Arial" w:ascii="Arial" w:hAnsi="Arial"/>
          <w:lang w:val="de-DE"/>
        </w:rPr>
        <w:t xml:space="preserve">C 3. Für Ressourcendaten von mehr als 1000 GB berechnet der </w:t>
      </w:r>
      <w:r>
        <w:rPr>
          <w:rFonts w:cs="Arial" w:ascii="Arial" w:hAnsi="Arial"/>
          <w:i/>
          <w:iCs/>
          <w:lang w:val="de-DE"/>
        </w:rPr>
        <w:t>Lizenzempfänger</w:t>
      </w:r>
      <w:r>
        <w:rPr>
          <w:rFonts w:cs="Arial" w:ascii="Arial" w:hAnsi="Arial"/>
          <w:lang w:val="de-DE"/>
        </w:rPr>
        <w:t xml:space="preserve"> eine einmalige Gebühr von EUR 0,30 je GB.</w:t>
      </w:r>
    </w:p>
    <w:p>
      <w:pPr>
        <w:pStyle w:val="OmniPage3"/>
        <w:spacing w:lineRule="auto" w:line="336" w:before="120" w:after="0"/>
        <w:ind w:left="0" w:right="0" w:hanging="0"/>
        <w:rPr>
          <w:lang w:val="de-DE"/>
        </w:rPr>
      </w:pPr>
      <w:r>
        <w:rPr>
          <w:rFonts w:cs="Arial" w:ascii="Arial" w:hAnsi="Arial"/>
          <w:lang w:val="de-DE"/>
        </w:rPr>
        <w:t>C 4. Weiterhin berechnet werden ggf. 19 % deutsche Umsatzsteuer.</w:t>
      </w:r>
    </w:p>
    <w:p>
      <w:pPr>
        <w:pStyle w:val="OmniPage3"/>
        <w:spacing w:lineRule="auto" w:line="336" w:before="120" w:after="0"/>
        <w:ind w:left="0" w:right="0" w:hanging="0"/>
        <w:rPr>
          <w:rFonts w:ascii="Arial" w:hAnsi="Arial" w:cs="Arial"/>
          <w:i/>
          <w:i/>
          <w:iCs/>
          <w:lang w:val="de-DE"/>
        </w:rPr>
      </w:pPr>
      <w:r>
        <w:rPr>
          <w:rFonts w:cs="Arial" w:ascii="Arial" w:hAnsi="Arial"/>
          <w:i/>
          <w:iCs/>
          <w:lang w:val="de-DE"/>
        </w:rPr>
        <w:t>Beispiel: Eine Ressource mit einer Gesamtgröße von 1500 GB wird bei Übernahme wie folgt berechnet:</w:t>
      </w:r>
    </w:p>
    <w:p>
      <w:pPr>
        <w:pStyle w:val="OmniPage3"/>
        <w:spacing w:lineRule="auto" w:line="336" w:before="120" w:after="0"/>
        <w:ind w:left="0" w:right="0" w:hanging="0"/>
        <w:rPr>
          <w:lang w:val="de-DE"/>
        </w:rPr>
      </w:pPr>
      <w:r>
        <w:rPr>
          <w:rFonts w:cs="Arial" w:ascii="Arial" w:hAnsi="Arial"/>
          <w:i/>
          <w:iCs/>
          <w:lang w:val="de-DE"/>
        </w:rPr>
        <w:t>€</w:t>
      </w:r>
      <w:r>
        <w:rPr>
          <w:rFonts w:cs="Arial" w:ascii="Arial" w:hAnsi="Arial"/>
          <w:i/>
          <w:iCs/>
          <w:lang w:val="de-DE"/>
        </w:rPr>
        <w:t xml:space="preserve">0 (0-20GB) + €490 (20-1000GB) + €150 (1000-1500GB) = €640 </w:t>
      </w:r>
      <w:r>
        <w:rPr>
          <w:rFonts w:cs="Arial" w:ascii="Arial" w:hAnsi="Arial"/>
          <w:lang w:val="de-DE"/>
        </w:rPr>
        <w:br/>
      </w:r>
      <w:r>
        <w:rPr>
          <w:rFonts w:cs="Arial" w:ascii="Arial" w:hAnsi="Arial"/>
          <w:i/>
          <w:iCs/>
          <w:lang w:val="de-DE"/>
        </w:rPr>
        <w:t>(ohne Umsatzsteuer)</w:t>
      </w:r>
    </w:p>
    <w:p>
      <w:pPr>
        <w:pStyle w:val="OmniPage3"/>
        <w:spacing w:lineRule="auto" w:line="336" w:before="120" w:after="0"/>
        <w:ind w:left="0" w:right="0" w:hanging="0"/>
        <w:rPr>
          <w:lang w:val="de-DE"/>
        </w:rPr>
      </w:pPr>
      <w:r>
        <w:rPr>
          <w:lang w:val="de-DE"/>
        </w:rPr>
      </w:r>
    </w:p>
    <w:p>
      <w:pPr>
        <w:pStyle w:val="OmniPage3"/>
        <w:spacing w:lineRule="auto" w:line="336" w:before="120" w:after="0"/>
        <w:ind w:left="0" w:right="0" w:hanging="0"/>
        <w:rPr>
          <w:rFonts w:ascii="Arial" w:hAnsi="Arial" w:cs="Arial"/>
          <w:lang w:val="de-DE"/>
        </w:rPr>
      </w:pPr>
      <w:r>
        <w:rPr>
          <w:rFonts w:cs="Arial" w:ascii="Arial" w:hAnsi="Arial"/>
          <w:lang w:val="de-DE"/>
        </w:rPr>
        <w:t xml:space="preserve">SR hat eine Gesamtgröße von:                  </w:t>
      </w:r>
      <w:r>
        <w:rPr>
          <w:rFonts w:eastAsia="Andale Sans UI;Arial Unicode MS" w:cs="Arial" w:ascii="Arial" w:hAnsi="Arial"/>
          <w:color w:val="000000"/>
          <w:sz w:val="24"/>
          <w:lang w:val="de-DE" w:bidi="ar-SA"/>
        </w:rPr>
        <w:t>.......</w:t>
      </w:r>
      <w:r>
        <w:rPr>
          <w:rFonts w:cs="Arial" w:ascii="Arial" w:hAnsi="Arial"/>
          <w:lang w:val="de-DE"/>
        </w:rPr>
        <w:t xml:space="preserve"> GB              </w:t>
      </w:r>
      <w:r>
        <w:rPr>
          <w:rFonts w:cs="Arial" w:ascii="Arial" w:hAnsi="Arial"/>
          <w:lang w:val="de-DE"/>
        </w:rPr>
        <w:t>(</w:t>
      </w:r>
      <w:r>
        <w:rPr>
          <w:rFonts w:cs="Arial" w:ascii="Arial" w:hAnsi="Arial"/>
          <w:lang w:val="de-DE"/>
        </w:rPr>
        <w:t>siehe Anlage A</w:t>
      </w:r>
      <w:r>
        <w:rPr>
          <w:rFonts w:cs="Arial" w:ascii="Arial" w:hAnsi="Arial"/>
          <w:lang w:val="de-DE"/>
        </w:rPr>
        <w:t>)</w:t>
      </w:r>
      <w:r>
        <w:rPr>
          <w:rFonts w:cs="Arial" w:ascii="Arial" w:hAnsi="Arial"/>
          <w:lang w:val="de-DE"/>
        </w:rPr>
        <w:br/>
        <w:t>Daher beträgt die einmalige Gebühr:</w:t>
      </w:r>
    </w:p>
    <w:p>
      <w:pPr>
        <w:pStyle w:val="OmniPage3"/>
        <w:spacing w:lineRule="auto" w:line="336" w:before="120" w:after="0"/>
        <w:ind w:left="0" w:right="0" w:hanging="0"/>
        <w:rPr>
          <w:rFonts w:ascii="Arial" w:hAnsi="Arial" w:cs="Arial"/>
          <w:lang w:val="de-DE"/>
        </w:rPr>
      </w:pPr>
      <w:r>
        <w:rPr>
          <w:rFonts w:cs="Arial" w:ascii="Arial" w:hAnsi="Arial"/>
          <w:lang w:val="de-DE"/>
        </w:rPr>
        <w:t xml:space="preserve">.................................................................................................€ </w:t>
      </w:r>
      <w:r>
        <w:rPr>
          <w:rFonts w:eastAsia="Andale Sans UI;Arial Unicode MS" w:cs="Arial" w:ascii="Arial" w:hAnsi="Arial"/>
          <w:color w:val="000000"/>
          <w:sz w:val="24"/>
          <w:lang w:val="de-DE" w:bidi="ar-SA"/>
        </w:rPr>
        <w:t>........</w:t>
      </w:r>
      <w:r>
        <w:rPr>
          <w:rFonts w:cs="Arial" w:ascii="Arial" w:hAnsi="Arial"/>
          <w:lang w:val="de-DE"/>
        </w:rPr>
        <w:t>,-</w:t>
      </w:r>
    </w:p>
    <w:p>
      <w:pPr>
        <w:pStyle w:val="OmniPage3"/>
        <w:spacing w:lineRule="auto" w:line="336" w:before="120" w:after="0"/>
        <w:ind w:left="0" w:right="0" w:hanging="0"/>
        <w:rPr>
          <w:rFonts w:ascii="Arial" w:hAnsi="Arial" w:cs="Arial"/>
          <w:lang w:val="de-DE"/>
        </w:rPr>
      </w:pPr>
      <w:r>
        <w:rPr>
          <w:rFonts w:cs="Arial" w:ascii="Arial" w:hAnsi="Arial"/>
          <w:lang w:val="de-DE"/>
        </w:rPr>
      </w:r>
    </w:p>
    <w:p>
      <w:pPr>
        <w:pStyle w:val="OmniPage3"/>
        <w:spacing w:lineRule="auto" w:line="336" w:before="120" w:after="0"/>
        <w:ind w:left="0" w:right="0" w:hanging="0"/>
        <w:rPr>
          <w:rFonts w:ascii="Arial" w:hAnsi="Arial" w:cs="Arial"/>
          <w:lang w:val="de-DE"/>
        </w:rPr>
      </w:pPr>
      <w:r>
        <w:rPr>
          <w:rFonts w:cs="Arial" w:ascii="Arial" w:hAnsi="Arial"/>
          <w:lang w:val="de-DE"/>
        </w:rPr>
        <w:t xml:space="preserve">+ 19 % deutsche Umsatzsteuer (soweit zutreffend)…...........€ </w:t>
      </w:r>
      <w:r>
        <w:rPr>
          <w:rFonts w:eastAsia="Andale Sans UI;Arial Unicode MS" w:cs="Arial" w:ascii="Arial" w:hAnsi="Arial"/>
          <w:color w:val="000000"/>
          <w:sz w:val="24"/>
          <w:lang w:val="de-DE" w:bidi="ar-SA"/>
        </w:rPr>
        <w:t>...........</w:t>
      </w:r>
    </w:p>
    <w:p>
      <w:pPr>
        <w:pStyle w:val="OmniPage3"/>
        <w:spacing w:lineRule="auto" w:line="336" w:before="120" w:after="0"/>
        <w:ind w:left="0" w:right="0" w:hanging="0"/>
        <w:rPr>
          <w:rFonts w:ascii="Arial" w:hAnsi="Arial" w:cs="Arial"/>
          <w:lang w:val="de-DE"/>
        </w:rPr>
      </w:pPr>
      <w:r>
        <w:rPr>
          <w:rFonts w:cs="Arial" w:ascii="Arial" w:hAnsi="Arial"/>
          <w:lang w:val="de-DE"/>
        </w:rPr>
        <w:t xml:space="preserve">Insgesamt: ……………………………………………………….€ </w:t>
      </w:r>
      <w:r>
        <w:rPr>
          <w:rFonts w:eastAsia="Andale Sans UI;Arial Unicode MS" w:cs="Arial" w:ascii="Arial" w:hAnsi="Arial"/>
          <w:color w:val="000000"/>
          <w:sz w:val="24"/>
          <w:lang w:val="de-DE" w:bidi="ar-SA"/>
        </w:rPr>
        <w:t>...........</w:t>
      </w:r>
    </w:p>
    <w:p>
      <w:pPr>
        <w:pStyle w:val="OmniPage3"/>
        <w:spacing w:lineRule="auto" w:line="336" w:before="120" w:after="0"/>
        <w:ind w:left="0" w:right="0" w:hanging="0"/>
        <w:rPr>
          <w:lang w:val="de-DE"/>
        </w:rPr>
      </w:pPr>
      <w:r>
        <w:rPr/>
      </w:r>
    </w:p>
    <w:sectPr>
      <w:footerReference w:type="default" r:id="rId2"/>
      <w:type w:val="nextPage"/>
      <w:pgSz w:w="11906" w:h="16838"/>
      <w:pgMar w:left="1474" w:right="1134" w:header="0" w:top="1418" w:footer="1134"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Helvetica">
    <w:altName w:val="Arial"/>
    <w:charset w:val="01"/>
    <w:family w:val="roman"/>
    <w:pitch w:val="variable"/>
  </w:font>
  <w:font w:name="Symbol">
    <w:charset w:val="01"/>
    <w:family w:val="roman"/>
    <w:pitch w:val="variable"/>
  </w:font>
  <w:font w:name="Arial">
    <w:charset w:val="01"/>
    <w:family w:val="roman"/>
    <w:pitch w:val="variable"/>
  </w:font>
  <w:font w:name="Courier New">
    <w:charset w:val="01"/>
    <w:family w:val="roman"/>
    <w:pitch w:val="variable"/>
  </w:font>
  <w:font w:name="Wingdings">
    <w:charset w:val="01"/>
    <w:family w:val="roman"/>
    <w:pitch w:val="variable"/>
  </w:font>
  <w:font w:name="Star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mc:AlternateContent>
        <mc:Choice Requires="wps">
          <w:drawing>
            <wp:anchor behindDoc="1" distT="0" distB="0" distL="0" distR="0" simplePos="0" locked="0" layoutInCell="1" allowOverlap="1" relativeHeight="10">
              <wp:simplePos x="0" y="0"/>
              <wp:positionH relativeFrom="column">
                <wp:align>center</wp:align>
              </wp:positionH>
              <wp:positionV relativeFrom="paragraph">
                <wp:posOffset>635</wp:posOffset>
              </wp:positionV>
              <wp:extent cx="80645" cy="165735"/>
              <wp:effectExtent l="0" t="0" r="0" b="0"/>
              <wp:wrapSquare wrapText="bothSides"/>
              <wp:docPr id="1" name="Frame1"/>
              <a:graphic xmlns:a="http://schemas.openxmlformats.org/drawingml/2006/main">
                <a:graphicData uri="http://schemas.microsoft.com/office/word/2010/wordprocessingShape">
                  <wps:wsp>
                    <wps:cNvSpPr/>
                    <wps:spPr>
                      <a:xfrm>
                        <a:off x="0" y="0"/>
                        <a:ext cx="79920" cy="165240"/>
                      </a:xfrm>
                      <a:prstGeom prst="rect">
                        <a:avLst/>
                      </a:prstGeom>
                      <a:noFill/>
                      <a:ln>
                        <a:noFill/>
                      </a:ln>
                    </wps:spPr>
                    <wps:style>
                      <a:lnRef idx="0"/>
                      <a:fillRef idx="0"/>
                      <a:effectRef idx="0"/>
                      <a:fontRef idx="minor"/>
                    </wps:style>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9</w:t>
                          </w:r>
                          <w:r>
                            <w:rPr>
                              <w:rStyle w:val="Pagenumber"/>
                            </w:rPr>
                            <w:fldChar w:fldCharType="end"/>
                          </w:r>
                        </w:p>
                      </w:txbxContent>
                    </wps:txbx>
                    <wps:bodyPr lIns="5040" rIns="5040" tIns="5040" bIns="5040">
                      <a:noAutofit/>
                    </wps:bodyPr>
                  </wps:wsp>
                </a:graphicData>
              </a:graphic>
            </wp:anchor>
          </w:drawing>
        </mc:Choice>
        <mc:Fallback>
          <w:pict>
            <v:rect id="shape_0" ID="Frame1" fillcolor="white" stroked="f" style="position:absolute;margin-left:229.3pt;margin-top:0.05pt;width:6.25pt;height:12.95pt;mso-position-horizontal:center">
              <w10:wrap type="square"/>
              <v:fill o:detectmouseclick="t" type="solid" color2="black" opacity="0"/>
              <v:stroke color="#3465a4" joinstyle="round" endcap="flat"/>
              <v:textbo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9</w:t>
                    </w:r>
                    <w:r>
                      <w:rPr>
                        <w:rStyle w:val="Pagenumber"/>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567"/>
        </w:tabs>
        <w:ind w:left="567" w:hanging="567"/>
      </w:pPr>
      <w:rPr>
        <w:sz w:val="24"/>
        <w:b w:val="false"/>
        <w:szCs w:val="24"/>
        <w:bCs w:val="false"/>
        <w:rFonts w:eastAsia="Andale Sans UI;Arial Unicode MS" w:cs="Arial"/>
        <w:color w:val="000000"/>
        <w:lang w:val="en-GB" w:bidi="ar-SA"/>
      </w:rPr>
    </w:lvl>
    <w:lvl w:ilvl="1">
      <w:start w:val="1"/>
      <w:numFmt w:val="decimal"/>
      <w:lvlText w:val="%1.%2."/>
      <w:lvlJc w:val="left"/>
      <w:pPr>
        <w:tabs>
          <w:tab w:val="num" w:pos="567"/>
        </w:tabs>
        <w:ind w:left="567" w:hanging="567"/>
      </w:pPr>
      <w:rPr>
        <w:sz w:val="24"/>
        <w:b w:val="false"/>
        <w:szCs w:val="24"/>
        <w:bCs w:val="false"/>
        <w:rFonts w:eastAsia="Andale Sans UI;Arial Unicode MS" w:cs="Arial"/>
        <w:color w:val="000000"/>
        <w:lang w:val="en-GB" w:bidi="ar-S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bering>
</file>

<file path=word/settings.xml><?xml version="1.0" encoding="utf-8"?>
<w:settings xmlns:w="http://schemas.openxmlformats.org/wordprocessingml/2006/main">
  <w:zoom w:val="bestFit" w:percent="218"/>
  <w:defaultTabStop w:val="1152"/>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Cs w:val="24"/>
        <w:lang w:val="en-US"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left"/>
    </w:pPr>
    <w:rPr>
      <w:rFonts w:ascii="Helvetica;Arial" w:hAnsi="Helvetica;Arial" w:eastAsia="Andale Sans UI;Arial Unicode MS" w:cs="Helvetica;Arial"/>
      <w:color w:val="000000"/>
      <w:kern w:val="0"/>
      <w:sz w:val="24"/>
      <w:szCs w:val="24"/>
      <w:lang w:bidi="ar-SA" w:val="en-US" w:eastAsia="zh-CN"/>
    </w:rPr>
  </w:style>
  <w:style w:type="paragraph" w:styleId="Heading1">
    <w:name w:val="Heading 1"/>
    <w:basedOn w:val="Heading"/>
    <w:next w:val="TextBody"/>
    <w:uiPriority w:val="9"/>
    <w:qFormat/>
    <w:pPr>
      <w:numPr>
        <w:ilvl w:val="0"/>
        <w:numId w:val="1"/>
      </w:numPr>
      <w:outlineLvl w:val="0"/>
    </w:pPr>
    <w:rPr>
      <w:b/>
      <w:sz w:val="32"/>
    </w:rPr>
  </w:style>
  <w:style w:type="paragraph" w:styleId="Heading2">
    <w:name w:val="Heading 2"/>
    <w:basedOn w:val="Heading"/>
    <w:next w:val="TextBody"/>
    <w:uiPriority w:val="9"/>
    <w:semiHidden/>
    <w:unhideWhenUsed/>
    <w:qFormat/>
    <w:pPr>
      <w:numPr>
        <w:ilvl w:val="1"/>
        <w:numId w:val="1"/>
      </w:numPr>
      <w:outlineLvl w:val="1"/>
    </w:pPr>
    <w:rPr>
      <w:b/>
      <w:i/>
    </w:rPr>
  </w:style>
  <w:style w:type="paragraph" w:styleId="Heading3">
    <w:name w:val="Heading 3"/>
    <w:basedOn w:val="Heading"/>
    <w:next w:val="TextBody"/>
    <w:uiPriority w:val="9"/>
    <w:semiHidden/>
    <w:unhideWhenUsed/>
    <w:qFormat/>
    <w:pPr>
      <w:numPr>
        <w:ilvl w:val="2"/>
        <w:numId w:val="1"/>
      </w:numPr>
      <w:outlineLvl w:val="2"/>
    </w:pPr>
    <w:rPr>
      <w:b/>
    </w:rPr>
  </w:style>
  <w:style w:type="paragraph" w:styleId="Heading4">
    <w:name w:val="Heading 4"/>
    <w:basedOn w:val="Heading"/>
    <w:next w:val="TextBody"/>
    <w:uiPriority w:val="9"/>
    <w:semiHidden/>
    <w:unhideWhenUsed/>
    <w:qFormat/>
    <w:pPr>
      <w:numPr>
        <w:ilvl w:val="3"/>
        <w:numId w:val="1"/>
      </w:numPr>
      <w:outlineLvl w:val="3"/>
    </w:pPr>
    <w:rPr>
      <w:b/>
      <w:i/>
      <w:sz w:val="24"/>
    </w:rPr>
  </w:style>
  <w:style w:type="paragraph" w:styleId="Heading5">
    <w:name w:val="Heading 5"/>
    <w:basedOn w:val="Heading"/>
    <w:next w:val="TextBody"/>
    <w:uiPriority w:val="9"/>
    <w:semiHidden/>
    <w:unhideWhenUsed/>
    <w:qFormat/>
    <w:pPr>
      <w:numPr>
        <w:ilvl w:val="4"/>
        <w:numId w:val="1"/>
      </w:numPr>
      <w:outlineLvl w:val="4"/>
    </w:pPr>
    <w:rPr>
      <w:b/>
      <w:sz w:val="2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color w:val="FF0000"/>
    </w:rPr>
  </w:style>
  <w:style w:type="character" w:styleId="WW8Num2z1" w:customStyle="1">
    <w:name w:val="WW8Num2z1"/>
    <w:qFormat/>
    <w:rPr>
      <w:rFonts w:ascii="Symbol" w:hAnsi="Symbol" w:cs="Symbol"/>
      <w:color w:val="FF0000"/>
      <w:lang w:val="fr-FR"/>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Arial" w:hAnsi="Arial" w:eastAsia="Andale Sans UI;Arial Unicode MS" w:cs="Arial"/>
      <w:b w:val="false"/>
      <w:bCs w:val="false"/>
      <w:color w:val="000000"/>
      <w:sz w:val="24"/>
      <w:szCs w:val="24"/>
      <w:lang w:val="en-GB" w:bidi="ar-SA"/>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Symbol" w:hAnsi="Symbol" w:cs="Symbol"/>
      <w:color w:val="FF0000"/>
      <w:lang w:val="en-GB"/>
    </w:rPr>
  </w:style>
  <w:style w:type="character" w:styleId="AbsatzStandardschriftart1" w:customStyle="1">
    <w:name w:val="Absatz-Standardschriftart1"/>
    <w:qFormat/>
    <w:rPr/>
  </w:style>
  <w:style w:type="character" w:styleId="WWAbsatzStandardschriftart" w:customStyle="1">
    <w:name w:val="WW-Absatz-Standardschriftart"/>
    <w:qFormat/>
    <w:rPr/>
  </w:style>
  <w:style w:type="character" w:styleId="WW8Num3z1" w:customStyle="1">
    <w:name w:val="WW8Num3z1"/>
    <w:qFormat/>
    <w:rPr>
      <w:rFonts w:ascii="Symbol" w:hAnsi="Symbol" w:cs="Symbol"/>
      <w:color w:val="000000"/>
    </w:rPr>
  </w:style>
  <w:style w:type="character" w:styleId="WW8Num5z0" w:customStyle="1">
    <w:name w:val="WW8Num5z0"/>
    <w:qFormat/>
    <w:rPr>
      <w:color w:val="000000"/>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8z0" w:customStyle="1">
    <w:name w:val="WW8Num8z0"/>
    <w:qFormat/>
    <w:rPr>
      <w:color w:val="FF0000"/>
    </w:rPr>
  </w:style>
  <w:style w:type="character" w:styleId="WW8Num8z1" w:customStyle="1">
    <w:name w:val="WW8Num8z1"/>
    <w:qFormat/>
    <w:rPr>
      <w:rFonts w:ascii="Symbol" w:hAnsi="Symbol" w:cs="Symbol"/>
      <w:color w:val="FF0000"/>
    </w:rPr>
  </w:style>
  <w:style w:type="character" w:styleId="WW8Num10z0" w:customStyle="1">
    <w:name w:val="WW8Num10z0"/>
    <w:qFormat/>
    <w:rPr>
      <w:color w:val="FF0000"/>
    </w:rPr>
  </w:style>
  <w:style w:type="character" w:styleId="WW8Num10z1" w:customStyle="1">
    <w:name w:val="WW8Num10z1"/>
    <w:qFormat/>
    <w:rPr>
      <w:rFonts w:ascii="Symbol" w:hAnsi="Symbol" w:cs="Symbol"/>
      <w:color w:val="FF0000"/>
    </w:rPr>
  </w:style>
  <w:style w:type="character" w:styleId="WWAbsatzStandardschriftart1" w:customStyle="1">
    <w:name w:val="WW-Absatz-Standardschriftart1"/>
    <w:qFormat/>
    <w:rPr/>
  </w:style>
  <w:style w:type="character" w:styleId="FootnoteCharacters" w:customStyle="1">
    <w:name w:val="Footnote Characters"/>
    <w:qFormat/>
    <w:rPr/>
  </w:style>
  <w:style w:type="character" w:styleId="NumberingSymbols" w:customStyle="1">
    <w:name w:val="Numbering Symbols"/>
    <w:qFormat/>
    <w:rPr/>
  </w:style>
  <w:style w:type="character" w:styleId="Bullets" w:customStyle="1">
    <w:name w:val="Bullets"/>
    <w:qFormat/>
    <w:rPr>
      <w:rFonts w:ascii="StarSymbol;Arial Unicode MS" w:hAnsi="StarSymbol;Arial Unicode MS" w:cs="StarSymbol;Arial Unicode MS"/>
      <w:sz w:val="18"/>
    </w:rPr>
  </w:style>
  <w:style w:type="character" w:styleId="EndnoteCharacters" w:customStyle="1">
    <w:name w:val="Endnote Characters"/>
    <w:qFormat/>
    <w:rPr/>
  </w:style>
  <w:style w:type="character" w:styleId="Pagenumber">
    <w:name w:val="page number"/>
    <w:basedOn w:val="WWAbsatzStandardschriftart1"/>
    <w:qFormat/>
    <w:rPr/>
  </w:style>
  <w:style w:type="character" w:styleId="Annotationreference">
    <w:name w:val="annotation reference"/>
    <w:basedOn w:val="DefaultParagraphFont"/>
    <w:uiPriority w:val="99"/>
    <w:semiHidden/>
    <w:unhideWhenUsed/>
    <w:qFormat/>
    <w:rsid w:val="00135ef1"/>
    <w:rPr>
      <w:sz w:val="16"/>
      <w:szCs w:val="16"/>
    </w:rPr>
  </w:style>
  <w:style w:type="character" w:styleId="KommentartextZchn" w:customStyle="1">
    <w:name w:val="Kommentartext Zchn"/>
    <w:basedOn w:val="DefaultParagraphFont"/>
    <w:link w:val="Kommentartext"/>
    <w:uiPriority w:val="99"/>
    <w:semiHidden/>
    <w:qFormat/>
    <w:rsid w:val="00135ef1"/>
    <w:rPr>
      <w:rFonts w:ascii="Helvetica;Arial" w:hAnsi="Helvetica;Arial" w:eastAsia="Andale Sans UI;Arial Unicode MS" w:cs="Helvetica;Arial"/>
      <w:color w:val="000000"/>
      <w:szCs w:val="20"/>
      <w:lang w:bidi="ar-SA"/>
    </w:rPr>
  </w:style>
  <w:style w:type="character" w:styleId="KommentarthemaZchn" w:customStyle="1">
    <w:name w:val="Kommentarthema Zchn"/>
    <w:basedOn w:val="KommentartextZchn"/>
    <w:link w:val="Kommentarthema"/>
    <w:uiPriority w:val="99"/>
    <w:semiHidden/>
    <w:qFormat/>
    <w:rsid w:val="00135ef1"/>
    <w:rPr>
      <w:rFonts w:ascii="Helvetica;Arial" w:hAnsi="Helvetica;Arial" w:eastAsia="Andale Sans UI;Arial Unicode MS" w:cs="Helvetica;Arial"/>
      <w:b/>
      <w:bCs/>
      <w:color w:val="000000"/>
      <w:szCs w:val="20"/>
      <w:lang w:bidi="ar-SA"/>
    </w:rPr>
  </w:style>
  <w:style w:type="character" w:styleId="InternetLink">
    <w:name w:val="Hyperlink"/>
    <w:basedOn w:val="DefaultParagraphFont"/>
    <w:uiPriority w:val="99"/>
    <w:unhideWhenUsed/>
    <w:rsid w:val="003172df"/>
    <w:rPr>
      <w:color w:val="0563C1" w:themeColor="hyperlink"/>
      <w:u w:val="single"/>
    </w:rPr>
  </w:style>
  <w:style w:type="character" w:styleId="UnresolvedMention">
    <w:name w:val="Unresolved Mention"/>
    <w:basedOn w:val="DefaultParagraphFont"/>
    <w:uiPriority w:val="99"/>
    <w:semiHidden/>
    <w:unhideWhenUsed/>
    <w:qFormat/>
    <w:rsid w:val="003172df"/>
    <w:rPr>
      <w:color w:val="605E5C"/>
      <w:shd w:fill="E1DFDD" w:val="clear"/>
    </w:rPr>
  </w:style>
  <w:style w:type="paragraph" w:styleId="Heading" w:customStyle="1">
    <w:name w:val="Heading"/>
    <w:basedOn w:val="Normal"/>
    <w:next w:val="TextBody"/>
    <w:qFormat/>
    <w:pPr>
      <w:keepNext w:val="true"/>
      <w:spacing w:before="240" w:after="120"/>
    </w:pPr>
    <w:rPr>
      <w:sz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rPr/>
  </w:style>
  <w:style w:type="paragraph" w:styleId="Caption1">
    <w:name w:val="caption"/>
    <w:basedOn w:val="Normal"/>
    <w:qFormat/>
    <w:pPr>
      <w:spacing w:before="120" w:after="120"/>
    </w:pPr>
    <w:rPr>
      <w:i/>
      <w:sz w:val="20"/>
    </w:rPr>
  </w:style>
  <w:style w:type="paragraph" w:styleId="Berschrift" w:customStyle="1">
    <w:name w:val="Überschrift"/>
    <w:basedOn w:val="Normal"/>
    <w:next w:val="TextBody"/>
    <w:qFormat/>
    <w:pPr>
      <w:keepNext w:val="true"/>
      <w:spacing w:before="240" w:after="120"/>
    </w:pPr>
    <w:rPr>
      <w:rFonts w:ascii="Liberation Sans;Arial" w:hAnsi="Liberation Sans;Arial" w:eastAsia="Droid Sans Fallback" w:cs="FreeSans"/>
      <w:sz w:val="28"/>
      <w:szCs w:val="28"/>
    </w:rPr>
  </w:style>
  <w:style w:type="paragraph" w:styleId="Beschriftung1" w:customStyle="1">
    <w:name w:val="Beschriftung1"/>
    <w:basedOn w:val="Normal"/>
    <w:qFormat/>
    <w:pPr>
      <w:suppressLineNumbers/>
      <w:spacing w:before="120" w:after="120"/>
    </w:pPr>
    <w:rPr>
      <w:rFonts w:cs="FreeSans"/>
      <w:i/>
      <w:iCs/>
    </w:rPr>
  </w:style>
  <w:style w:type="paragraph" w:styleId="Verzeichnis" w:customStyle="1">
    <w:name w:val="Verzeichnis"/>
    <w:basedOn w:val="Normal"/>
    <w:qFormat/>
    <w:pPr>
      <w:suppressLineNumbers/>
    </w:pPr>
    <w:rPr>
      <w:rFonts w:cs="FreeSans"/>
    </w:rPr>
  </w:style>
  <w:style w:type="paragraph" w:styleId="HeaderandFooter" w:customStyle="1">
    <w:name w:val="Header and Footer"/>
    <w:basedOn w:val="Normal"/>
    <w:qFormat/>
    <w:pPr>
      <w:suppressLineNumbers/>
    </w:pPr>
    <w:rPr/>
  </w:style>
  <w:style w:type="paragraph" w:styleId="Header">
    <w:name w:val="Header"/>
    <w:basedOn w:val="Normal"/>
    <w:pPr/>
    <w:rPr/>
  </w:style>
  <w:style w:type="paragraph" w:styleId="Footer">
    <w:name w:val="Footer"/>
    <w:basedOn w:val="Normal"/>
    <w:pPr/>
    <w:rPr/>
  </w:style>
  <w:style w:type="paragraph" w:styleId="LONormal" w:customStyle="1">
    <w:name w:val="LO-Normal"/>
    <w:basedOn w:val="Normal"/>
    <w:qFormat/>
    <w:pPr/>
    <w:rPr/>
  </w:style>
  <w:style w:type="paragraph" w:styleId="OmniPage1" w:customStyle="1">
    <w:name w:val="OmniPage #1"/>
    <w:basedOn w:val="LONormal"/>
    <w:qFormat/>
    <w:pPr>
      <w:ind w:left="1635" w:hanging="0"/>
    </w:pPr>
    <w:rPr/>
  </w:style>
  <w:style w:type="paragraph" w:styleId="OmniPage2" w:customStyle="1">
    <w:name w:val="OmniPage #2"/>
    <w:basedOn w:val="LONormal"/>
    <w:qFormat/>
    <w:pPr>
      <w:ind w:left="3124" w:hanging="0"/>
      <w:jc w:val="center"/>
    </w:pPr>
    <w:rPr/>
  </w:style>
  <w:style w:type="paragraph" w:styleId="OmniPage3" w:customStyle="1">
    <w:name w:val="OmniPage #3"/>
    <w:basedOn w:val="LONormal"/>
    <w:qFormat/>
    <w:pPr>
      <w:spacing w:lineRule="auto" w:line="348"/>
      <w:ind w:left="29" w:right="492" w:hanging="0"/>
    </w:pPr>
    <w:rPr/>
  </w:style>
  <w:style w:type="paragraph" w:styleId="OmniPage4" w:customStyle="1">
    <w:name w:val="OmniPage #4"/>
    <w:basedOn w:val="LONormal"/>
    <w:qFormat/>
    <w:pPr>
      <w:spacing w:lineRule="auto" w:line="120"/>
      <w:jc w:val="center"/>
    </w:pPr>
    <w:rPr/>
  </w:style>
  <w:style w:type="paragraph" w:styleId="OmniPage5" w:customStyle="1">
    <w:name w:val="OmniPage #5"/>
    <w:basedOn w:val="LONormal"/>
    <w:qFormat/>
    <w:pPr>
      <w:ind w:left="19" w:hanging="0"/>
    </w:pPr>
    <w:rPr/>
  </w:style>
  <w:style w:type="paragraph" w:styleId="OmniPage6" w:customStyle="1">
    <w:name w:val="OmniPage #6"/>
    <w:basedOn w:val="LONormal"/>
    <w:qFormat/>
    <w:pPr>
      <w:spacing w:lineRule="auto" w:line="324"/>
      <w:ind w:left="29" w:right="407" w:hanging="0"/>
    </w:pPr>
    <w:rPr/>
  </w:style>
  <w:style w:type="paragraph" w:styleId="OmniPage7" w:customStyle="1">
    <w:name w:val="OmniPage #7"/>
    <w:basedOn w:val="LONormal"/>
    <w:qFormat/>
    <w:pPr>
      <w:spacing w:lineRule="auto" w:line="312"/>
      <w:ind w:left="22" w:right="569" w:hanging="0"/>
    </w:pPr>
    <w:rPr/>
  </w:style>
  <w:style w:type="paragraph" w:styleId="OmniPage8" w:customStyle="1">
    <w:name w:val="OmniPage #8"/>
    <w:basedOn w:val="LONormal"/>
    <w:qFormat/>
    <w:pPr>
      <w:ind w:left="33" w:hanging="0"/>
    </w:pPr>
    <w:rPr/>
  </w:style>
  <w:style w:type="paragraph" w:styleId="OmniPage9" w:customStyle="1">
    <w:name w:val="OmniPage #9"/>
    <w:basedOn w:val="LONormal"/>
    <w:qFormat/>
    <w:pPr>
      <w:spacing w:lineRule="auto" w:line="324"/>
      <w:ind w:left="29" w:right="171" w:hanging="0"/>
    </w:pPr>
    <w:rPr/>
  </w:style>
  <w:style w:type="paragraph" w:styleId="BalloonText">
    <w:name w:val="Balloon Text"/>
    <w:basedOn w:val="Normal"/>
    <w:qFormat/>
    <w:pPr/>
    <w:rPr>
      <w:rFonts w:ascii="Tahoma" w:hAnsi="Tahoma" w:cs="Tahoma"/>
      <w:sz w:val="16"/>
      <w:szCs w:val="16"/>
    </w:rPr>
  </w:style>
  <w:style w:type="paragraph" w:styleId="HTMLPreformatted">
    <w:name w:val="HTML Preformatted"/>
    <w:basedOn w:val="Normal"/>
    <w:qFormat/>
    <w:pPr>
      <w:widowControl/>
      <w:suppressAutoHyphens w:val="false"/>
    </w:pPr>
    <w:rPr>
      <w:rFonts w:ascii="Courier New" w:hAnsi="Courier New" w:eastAsia="Times New Roman" w:cs="Courier New"/>
      <w:sz w:val="20"/>
      <w:szCs w:val="20"/>
      <w:lang w:val="de-DE"/>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FrameContents" w:customStyle="1">
    <w:name w:val="Frame Contents"/>
    <w:basedOn w:val="Normal"/>
    <w:qFormat/>
    <w:pPr/>
    <w:rPr/>
  </w:style>
  <w:style w:type="paragraph" w:styleId="TabellenInhalt" w:customStyle="1">
    <w:name w:val="Tabellen Inhalt"/>
    <w:basedOn w:val="Normal"/>
    <w:qFormat/>
    <w:pPr>
      <w:suppressLineNumbers/>
    </w:pPr>
    <w:rPr/>
  </w:style>
  <w:style w:type="paragraph" w:styleId="Tabellenberschrift" w:customStyle="1">
    <w:name w:val="Tabellen Überschrift"/>
    <w:basedOn w:val="TabellenInhalt"/>
    <w:qFormat/>
    <w:pPr>
      <w:jc w:val="center"/>
    </w:pPr>
    <w:rPr>
      <w:b/>
      <w:bCs/>
    </w:rPr>
  </w:style>
  <w:style w:type="paragraph" w:styleId="Rahmeninhalt" w:customStyle="1">
    <w:name w:val="Rahmeninhalt"/>
    <w:basedOn w:val="TextBody"/>
    <w:qFormat/>
    <w:pPr/>
    <w:rPr/>
  </w:style>
  <w:style w:type="paragraph" w:styleId="Annotationtext">
    <w:name w:val="annotation text"/>
    <w:basedOn w:val="Normal"/>
    <w:link w:val="KommentartextZchn"/>
    <w:uiPriority w:val="99"/>
    <w:semiHidden/>
    <w:unhideWhenUsed/>
    <w:qFormat/>
    <w:rsid w:val="00135ef1"/>
    <w:pPr/>
    <w:rPr>
      <w:sz w:val="20"/>
      <w:szCs w:val="20"/>
    </w:rPr>
  </w:style>
  <w:style w:type="paragraph" w:styleId="Annotationsubject">
    <w:name w:val="annotation subject"/>
    <w:basedOn w:val="Annotationtext"/>
    <w:next w:val="Annotationtext"/>
    <w:link w:val="KommentarthemaZchn"/>
    <w:uiPriority w:val="99"/>
    <w:semiHidden/>
    <w:unhideWhenUsed/>
    <w:qFormat/>
    <w:rsid w:val="00135ef1"/>
    <w:pPr/>
    <w:rPr>
      <w:b/>
      <w:bCs/>
    </w:rPr>
  </w:style>
  <w:style w:type="paragraph" w:styleId="Revision">
    <w:name w:val="Revision"/>
    <w:uiPriority w:val="99"/>
    <w:semiHidden/>
    <w:qFormat/>
    <w:rsid w:val="00665c48"/>
    <w:pPr>
      <w:widowControl/>
      <w:suppressAutoHyphens w:val="false"/>
      <w:bidi w:val="0"/>
      <w:spacing w:before="0" w:after="0"/>
      <w:jc w:val="left"/>
    </w:pPr>
    <w:rPr>
      <w:rFonts w:ascii="Helvetica;Arial" w:hAnsi="Helvetica;Arial" w:eastAsia="Andale Sans UI;Arial Unicode MS" w:cs="Helvetica;Arial"/>
      <w:color w:val="000000"/>
      <w:kern w:val="0"/>
      <w:sz w:val="24"/>
      <w:szCs w:val="24"/>
      <w:lang w:bidi="ar-SA" w:val="en-US" w:eastAsia="zh-C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LibreOffice/6.4.7.2$Linux_X86_64 LibreOffice_project/40$Build-2</Application>
  <Pages>9</Pages>
  <Words>1604</Words>
  <Characters>11104</Characters>
  <CharactersWithSpaces>12633</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2022-06-20T15:00:00Z</dcterms:created>
  <dc:creator>Leh, Almut</dc:creator>
  <dc:description/>
  <dc:language>en-US</dc:language>
  <cp:lastModifiedBy/>
  <dcterms:modified xsi:type="dcterms:W3CDTF">2022-06-25T13:37:14Z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y fmtid="{D5CDD505-2E9C-101B-9397-08002B2CF9AE}" pid="8" name="__Grammarly_42___1">
    <vt:lpwstr>__Grammarly_42___1</vt:lpwstr>
  </property>
  <property fmtid="{D5CDD505-2E9C-101B-9397-08002B2CF9AE}" pid="9" name="__Grammarly_42____i">
    <vt:lpwstr>__Grammarly_42____i</vt:lpwstr>
  </property>
</Properties>
</file>